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F5734" w14:textId="77777777" w:rsidR="00572A79" w:rsidRPr="00C14F35" w:rsidRDefault="00572A79" w:rsidP="00E57AC1">
      <w:pPr>
        <w:contextualSpacing/>
        <w:jc w:val="both"/>
      </w:pPr>
    </w:p>
    <w:p w14:paraId="1EA0E875" w14:textId="41740BF8" w:rsidR="00572A79" w:rsidRPr="00C14F35" w:rsidRDefault="00FC6CCC" w:rsidP="00E57AC1">
      <w:pPr>
        <w:contextualSpacing/>
        <w:jc w:val="both"/>
        <w:rPr>
          <w:b/>
          <w:bCs/>
          <w:color w:val="365F91" w:themeColor="accent1" w:themeShade="BF"/>
          <w:sz w:val="32"/>
          <w:szCs w:val="32"/>
        </w:rPr>
      </w:pPr>
      <w:r w:rsidRPr="00C14F35">
        <w:rPr>
          <w:b/>
          <w:bCs/>
          <w:color w:val="365F91" w:themeColor="accent1" w:themeShade="BF"/>
          <w:sz w:val="32"/>
          <w:szCs w:val="32"/>
        </w:rPr>
        <w:t>Ravimitootjate Liidu tagasiside EL ravimiregulatsiooni reformile</w:t>
      </w:r>
    </w:p>
    <w:sdt>
      <w:sdtPr>
        <w:rPr>
          <w:rFonts w:eastAsia="Calibri" w:cs="Calibri"/>
          <w:b w:val="0"/>
          <w:bCs w:val="0"/>
          <w:color w:val="000000"/>
          <w:sz w:val="22"/>
          <w:szCs w:val="22"/>
          <w:bdr w:val="nil"/>
        </w:rPr>
        <w:id w:val="-720895464"/>
        <w:docPartObj>
          <w:docPartGallery w:val="Table of Contents"/>
          <w:docPartUnique/>
        </w:docPartObj>
      </w:sdtPr>
      <w:sdtContent>
        <w:p w14:paraId="189FDD1F" w14:textId="77777777" w:rsidR="00FC6CCC" w:rsidRPr="00C14F35" w:rsidRDefault="00FC6CCC" w:rsidP="009F2E1A">
          <w:pPr>
            <w:pStyle w:val="Sisukorrapealkiri"/>
            <w:ind w:right="-279"/>
            <w:contextualSpacing/>
            <w:jc w:val="both"/>
            <w:rPr>
              <w:rFonts w:cs="Calibri"/>
            </w:rPr>
          </w:pPr>
          <w:r w:rsidRPr="00C14F35">
            <w:rPr>
              <w:rFonts w:cs="Calibri"/>
            </w:rPr>
            <w:t>Sisukord</w:t>
          </w:r>
        </w:p>
        <w:p w14:paraId="12C18A5A" w14:textId="0B83B8F6" w:rsidR="00C14F35" w:rsidRPr="00C14F35" w:rsidRDefault="00FC6CCC">
          <w:pPr>
            <w:pStyle w:val="SK2"/>
            <w:rPr>
              <w:rFonts w:ascii="Calibri" w:eastAsiaTheme="minorEastAsia" w:hAnsi="Calibri" w:cs="Calibri"/>
              <w:b w:val="0"/>
              <w:bCs w:val="0"/>
              <w:lang w:eastAsia="et-EE"/>
            </w:rPr>
          </w:pPr>
          <w:r w:rsidRPr="00C14F35">
            <w:rPr>
              <w:rFonts w:ascii="Calibri" w:hAnsi="Calibri" w:cs="Calibri"/>
              <w:b w:val="0"/>
              <w:bCs w:val="0"/>
            </w:rPr>
            <w:fldChar w:fldCharType="begin"/>
          </w:r>
          <w:r w:rsidRPr="00C14F35">
            <w:rPr>
              <w:rFonts w:ascii="Calibri" w:hAnsi="Calibri" w:cs="Calibri"/>
            </w:rPr>
            <w:instrText xml:space="preserve"> TOC \o "1-3" \h \z \u </w:instrText>
          </w:r>
          <w:r w:rsidRPr="00C14F35">
            <w:rPr>
              <w:rFonts w:ascii="Calibri" w:hAnsi="Calibri" w:cs="Calibri"/>
              <w:b w:val="0"/>
              <w:bCs w:val="0"/>
            </w:rPr>
            <w:fldChar w:fldCharType="separate"/>
          </w:r>
          <w:hyperlink w:anchor="_Toc139536080" w:history="1">
            <w:r w:rsidR="00C14F35" w:rsidRPr="00C14F35">
              <w:rPr>
                <w:rStyle w:val="Hperlink"/>
                <w:rFonts w:ascii="Calibri" w:hAnsi="Calibri" w:cs="Calibri"/>
              </w:rPr>
              <w:t>1.</w:t>
            </w:r>
            <w:r w:rsidR="00C14F35" w:rsidRPr="00C14F35">
              <w:rPr>
                <w:rFonts w:ascii="Calibri" w:eastAsiaTheme="minorEastAsia" w:hAnsi="Calibri" w:cs="Calibri"/>
                <w:b w:val="0"/>
                <w:bCs w:val="0"/>
                <w:lang w:eastAsia="et-EE"/>
              </w:rPr>
              <w:tab/>
            </w:r>
            <w:r w:rsidR="00C14F35" w:rsidRPr="00C14F35">
              <w:rPr>
                <w:rStyle w:val="Hperlink"/>
                <w:rFonts w:ascii="Calibri" w:hAnsi="Calibri" w:cs="Calibri"/>
              </w:rPr>
              <w:t>Võrdne juurdepääs ja taskukohasus</w:t>
            </w:r>
            <w:r w:rsidR="00C14F35" w:rsidRPr="00C14F35">
              <w:rPr>
                <w:rFonts w:ascii="Calibri" w:hAnsi="Calibri" w:cs="Calibri"/>
                <w:webHidden/>
              </w:rPr>
              <w:tab/>
            </w:r>
            <w:r w:rsidR="00C14F35" w:rsidRPr="00C14F35">
              <w:rPr>
                <w:rFonts w:ascii="Calibri" w:hAnsi="Calibri" w:cs="Calibri"/>
                <w:webHidden/>
              </w:rPr>
              <w:fldChar w:fldCharType="begin"/>
            </w:r>
            <w:r w:rsidR="00C14F35" w:rsidRPr="00C14F35">
              <w:rPr>
                <w:rFonts w:ascii="Calibri" w:hAnsi="Calibri" w:cs="Calibri"/>
                <w:webHidden/>
              </w:rPr>
              <w:instrText xml:space="preserve"> PAGEREF _Toc139536080 \h </w:instrText>
            </w:r>
            <w:r w:rsidR="00C14F35" w:rsidRPr="00C14F35">
              <w:rPr>
                <w:rFonts w:ascii="Calibri" w:hAnsi="Calibri" w:cs="Calibri"/>
                <w:webHidden/>
              </w:rPr>
            </w:r>
            <w:r w:rsidR="00C14F35" w:rsidRPr="00C14F35">
              <w:rPr>
                <w:rFonts w:ascii="Calibri" w:hAnsi="Calibri" w:cs="Calibri"/>
                <w:webHidden/>
              </w:rPr>
              <w:fldChar w:fldCharType="separate"/>
            </w:r>
            <w:r w:rsidR="006C3D65">
              <w:rPr>
                <w:rFonts w:ascii="Calibri" w:hAnsi="Calibri" w:cs="Calibri"/>
                <w:webHidden/>
              </w:rPr>
              <w:t>2</w:t>
            </w:r>
            <w:r w:rsidR="00C14F35" w:rsidRPr="00C14F35">
              <w:rPr>
                <w:rFonts w:ascii="Calibri" w:hAnsi="Calibri" w:cs="Calibri"/>
                <w:webHidden/>
              </w:rPr>
              <w:fldChar w:fldCharType="end"/>
            </w:r>
          </w:hyperlink>
        </w:p>
        <w:p w14:paraId="25E562F5" w14:textId="02D38FEF" w:rsidR="00C14F35" w:rsidRPr="00C14F35" w:rsidRDefault="00000000">
          <w:pPr>
            <w:pStyle w:val="SK3"/>
            <w:rPr>
              <w:rFonts w:ascii="Calibri" w:eastAsiaTheme="minorEastAsia" w:hAnsi="Calibri" w:cs="Calibri"/>
              <w:noProof/>
              <w:lang w:eastAsia="et-EE"/>
            </w:rPr>
          </w:pPr>
          <w:hyperlink w:anchor="_Toc139536081" w:history="1">
            <w:r w:rsidR="00C14F35" w:rsidRPr="00C14F35">
              <w:rPr>
                <w:rStyle w:val="Hperlink"/>
                <w:rFonts w:ascii="Calibri" w:hAnsi="Calibri" w:cs="Calibri"/>
                <w:noProof/>
              </w:rPr>
              <w:t>1.1.</w:t>
            </w:r>
            <w:r w:rsidR="00C14F35" w:rsidRPr="00C14F35">
              <w:rPr>
                <w:rFonts w:ascii="Calibri" w:eastAsiaTheme="minorEastAsia" w:hAnsi="Calibri" w:cs="Calibri"/>
                <w:noProof/>
                <w:lang w:eastAsia="et-EE"/>
              </w:rPr>
              <w:tab/>
            </w:r>
            <w:r w:rsidR="00C14F35" w:rsidRPr="00C14F35">
              <w:rPr>
                <w:rStyle w:val="Hperlink"/>
                <w:rFonts w:ascii="Calibri" w:hAnsi="Calibri" w:cs="Calibri"/>
                <w:noProof/>
              </w:rPr>
              <w:t>Andmete- ja müügikaitse (Regulatory Data Protection - RDP) perioodi lühendamine ja moduleerimine</w:t>
            </w:r>
            <w:r w:rsidR="00C14F35" w:rsidRPr="00C14F35">
              <w:rPr>
                <w:rFonts w:ascii="Calibri" w:hAnsi="Calibri" w:cs="Calibri"/>
                <w:noProof/>
                <w:webHidden/>
              </w:rPr>
              <w:tab/>
            </w:r>
            <w:r w:rsidR="00C14F35" w:rsidRPr="00C14F35">
              <w:rPr>
                <w:rFonts w:ascii="Calibri" w:hAnsi="Calibri" w:cs="Calibri"/>
                <w:noProof/>
                <w:webHidden/>
              </w:rPr>
              <w:fldChar w:fldCharType="begin"/>
            </w:r>
            <w:r w:rsidR="00C14F35" w:rsidRPr="00C14F35">
              <w:rPr>
                <w:rFonts w:ascii="Calibri" w:hAnsi="Calibri" w:cs="Calibri"/>
                <w:noProof/>
                <w:webHidden/>
              </w:rPr>
              <w:instrText xml:space="preserve"> PAGEREF _Toc139536081 \h </w:instrText>
            </w:r>
            <w:r w:rsidR="00C14F35" w:rsidRPr="00C14F35">
              <w:rPr>
                <w:rFonts w:ascii="Calibri" w:hAnsi="Calibri" w:cs="Calibri"/>
                <w:noProof/>
                <w:webHidden/>
              </w:rPr>
            </w:r>
            <w:r w:rsidR="00C14F35" w:rsidRPr="00C14F35">
              <w:rPr>
                <w:rFonts w:ascii="Calibri" w:hAnsi="Calibri" w:cs="Calibri"/>
                <w:noProof/>
                <w:webHidden/>
              </w:rPr>
              <w:fldChar w:fldCharType="separate"/>
            </w:r>
            <w:r w:rsidR="006C3D65">
              <w:rPr>
                <w:rFonts w:ascii="Calibri" w:hAnsi="Calibri" w:cs="Calibri"/>
                <w:noProof/>
                <w:webHidden/>
              </w:rPr>
              <w:t>2</w:t>
            </w:r>
            <w:r w:rsidR="00C14F35" w:rsidRPr="00C14F35">
              <w:rPr>
                <w:rFonts w:ascii="Calibri" w:hAnsi="Calibri" w:cs="Calibri"/>
                <w:noProof/>
                <w:webHidden/>
              </w:rPr>
              <w:fldChar w:fldCharType="end"/>
            </w:r>
          </w:hyperlink>
        </w:p>
        <w:p w14:paraId="6C1216AF" w14:textId="48C5193C" w:rsidR="00C14F35" w:rsidRPr="00C14F35" w:rsidRDefault="00000000">
          <w:pPr>
            <w:pStyle w:val="SK3"/>
            <w:rPr>
              <w:rFonts w:ascii="Calibri" w:eastAsiaTheme="minorEastAsia" w:hAnsi="Calibri" w:cs="Calibri"/>
              <w:noProof/>
              <w:lang w:eastAsia="et-EE"/>
            </w:rPr>
          </w:pPr>
          <w:hyperlink w:anchor="_Toc139536082" w:history="1">
            <w:r w:rsidR="00C14F35" w:rsidRPr="00C14F35">
              <w:rPr>
                <w:rStyle w:val="Hperlink"/>
                <w:rFonts w:ascii="Calibri" w:hAnsi="Calibri" w:cs="Calibri"/>
                <w:noProof/>
              </w:rPr>
              <w:t>1.2.</w:t>
            </w:r>
            <w:r w:rsidR="00C14F35" w:rsidRPr="00C14F35">
              <w:rPr>
                <w:rFonts w:ascii="Calibri" w:eastAsiaTheme="minorEastAsia" w:hAnsi="Calibri" w:cs="Calibri"/>
                <w:noProof/>
                <w:lang w:eastAsia="et-EE"/>
              </w:rPr>
              <w:tab/>
            </w:r>
            <w:r w:rsidR="00C14F35" w:rsidRPr="00C14F35">
              <w:rPr>
                <w:rStyle w:val="Hperlink"/>
                <w:rFonts w:ascii="Calibri" w:hAnsi="Calibri" w:cs="Calibri"/>
                <w:noProof/>
              </w:rPr>
              <w:t>Regulatiivandmekaitse ja turu ainumüügiõiguse perioodid – kõigis riikides turustamise, katmata ravivaldkondade, võrdlevate kl. uuringute, repurposing eest – kõigis riikides turustamise, katmata ravivaldkondade, võrdlevate kl. uuringute, repurposing eest (direktiivi ptk VII, artiklid 80-86, määruse artiklid 71-72)</w:t>
            </w:r>
            <w:r w:rsidR="00C14F35" w:rsidRPr="00C14F35">
              <w:rPr>
                <w:rFonts w:ascii="Calibri" w:hAnsi="Calibri" w:cs="Calibri"/>
                <w:noProof/>
                <w:webHidden/>
              </w:rPr>
              <w:tab/>
            </w:r>
            <w:r w:rsidR="00C14F35" w:rsidRPr="00C14F35">
              <w:rPr>
                <w:rFonts w:ascii="Calibri" w:hAnsi="Calibri" w:cs="Calibri"/>
                <w:noProof/>
                <w:webHidden/>
              </w:rPr>
              <w:fldChar w:fldCharType="begin"/>
            </w:r>
            <w:r w:rsidR="00C14F35" w:rsidRPr="00C14F35">
              <w:rPr>
                <w:rFonts w:ascii="Calibri" w:hAnsi="Calibri" w:cs="Calibri"/>
                <w:noProof/>
                <w:webHidden/>
              </w:rPr>
              <w:instrText xml:space="preserve"> PAGEREF _Toc139536082 \h </w:instrText>
            </w:r>
            <w:r w:rsidR="00C14F35" w:rsidRPr="00C14F35">
              <w:rPr>
                <w:rFonts w:ascii="Calibri" w:hAnsi="Calibri" w:cs="Calibri"/>
                <w:noProof/>
                <w:webHidden/>
              </w:rPr>
            </w:r>
            <w:r w:rsidR="00C14F35" w:rsidRPr="00C14F35">
              <w:rPr>
                <w:rFonts w:ascii="Calibri" w:hAnsi="Calibri" w:cs="Calibri"/>
                <w:noProof/>
                <w:webHidden/>
              </w:rPr>
              <w:fldChar w:fldCharType="separate"/>
            </w:r>
            <w:r w:rsidR="006C3D65">
              <w:rPr>
                <w:rFonts w:ascii="Calibri" w:hAnsi="Calibri" w:cs="Calibri"/>
                <w:noProof/>
                <w:webHidden/>
              </w:rPr>
              <w:t>3</w:t>
            </w:r>
            <w:r w:rsidR="00C14F35" w:rsidRPr="00C14F35">
              <w:rPr>
                <w:rFonts w:ascii="Calibri" w:hAnsi="Calibri" w:cs="Calibri"/>
                <w:noProof/>
                <w:webHidden/>
              </w:rPr>
              <w:fldChar w:fldCharType="end"/>
            </w:r>
          </w:hyperlink>
        </w:p>
        <w:p w14:paraId="0CFD34EF" w14:textId="7BAF9055" w:rsidR="00C14F35" w:rsidRPr="00C14F35" w:rsidRDefault="00000000">
          <w:pPr>
            <w:pStyle w:val="SK3"/>
            <w:rPr>
              <w:rFonts w:ascii="Calibri" w:eastAsiaTheme="minorEastAsia" w:hAnsi="Calibri" w:cs="Calibri"/>
              <w:noProof/>
              <w:lang w:eastAsia="et-EE"/>
            </w:rPr>
          </w:pPr>
          <w:hyperlink w:anchor="_Toc139536083" w:history="1">
            <w:r w:rsidR="00C14F35" w:rsidRPr="00C14F35">
              <w:rPr>
                <w:rStyle w:val="Hperlink"/>
                <w:rFonts w:ascii="Calibri" w:hAnsi="Calibri" w:cs="Calibri"/>
                <w:noProof/>
              </w:rPr>
              <w:t>1.3.</w:t>
            </w:r>
            <w:r w:rsidR="00C14F35" w:rsidRPr="00C14F35">
              <w:rPr>
                <w:rFonts w:ascii="Calibri" w:eastAsiaTheme="minorEastAsia" w:hAnsi="Calibri" w:cs="Calibri"/>
                <w:noProof/>
                <w:lang w:eastAsia="et-EE"/>
              </w:rPr>
              <w:tab/>
            </w:r>
            <w:r w:rsidR="00C14F35" w:rsidRPr="00C14F35">
              <w:rPr>
                <w:rStyle w:val="Hperlink"/>
                <w:rFonts w:ascii="Calibri" w:hAnsi="Calibri" w:cs="Calibri"/>
                <w:noProof/>
              </w:rPr>
              <w:t>Geneeriliste ja bioloogiliselt sarnaste ravimite toetusmeetmed (nt määruse artikkel 71.6 ja 72, direktiivi ptk VII ja eriti artikkel 85, direktiivi artikkel 21)</w:t>
            </w:r>
            <w:r w:rsidR="00C14F35" w:rsidRPr="00C14F35">
              <w:rPr>
                <w:rFonts w:ascii="Calibri" w:hAnsi="Calibri" w:cs="Calibri"/>
                <w:noProof/>
                <w:webHidden/>
              </w:rPr>
              <w:tab/>
            </w:r>
            <w:r w:rsidR="00C14F35" w:rsidRPr="00C14F35">
              <w:rPr>
                <w:rFonts w:ascii="Calibri" w:hAnsi="Calibri" w:cs="Calibri"/>
                <w:noProof/>
                <w:webHidden/>
              </w:rPr>
              <w:fldChar w:fldCharType="begin"/>
            </w:r>
            <w:r w:rsidR="00C14F35" w:rsidRPr="00C14F35">
              <w:rPr>
                <w:rFonts w:ascii="Calibri" w:hAnsi="Calibri" w:cs="Calibri"/>
                <w:noProof/>
                <w:webHidden/>
              </w:rPr>
              <w:instrText xml:space="preserve"> PAGEREF _Toc139536083 \h </w:instrText>
            </w:r>
            <w:r w:rsidR="00C14F35" w:rsidRPr="00C14F35">
              <w:rPr>
                <w:rFonts w:ascii="Calibri" w:hAnsi="Calibri" w:cs="Calibri"/>
                <w:noProof/>
                <w:webHidden/>
              </w:rPr>
            </w:r>
            <w:r w:rsidR="00C14F35" w:rsidRPr="00C14F35">
              <w:rPr>
                <w:rFonts w:ascii="Calibri" w:hAnsi="Calibri" w:cs="Calibri"/>
                <w:noProof/>
                <w:webHidden/>
              </w:rPr>
              <w:fldChar w:fldCharType="separate"/>
            </w:r>
            <w:r w:rsidR="006C3D65">
              <w:rPr>
                <w:rFonts w:ascii="Calibri" w:hAnsi="Calibri" w:cs="Calibri"/>
                <w:noProof/>
                <w:webHidden/>
              </w:rPr>
              <w:t>3</w:t>
            </w:r>
            <w:r w:rsidR="00C14F35" w:rsidRPr="00C14F35">
              <w:rPr>
                <w:rFonts w:ascii="Calibri" w:hAnsi="Calibri" w:cs="Calibri"/>
                <w:noProof/>
                <w:webHidden/>
              </w:rPr>
              <w:fldChar w:fldCharType="end"/>
            </w:r>
          </w:hyperlink>
        </w:p>
        <w:p w14:paraId="68E463F4" w14:textId="6C60F5D3" w:rsidR="00C14F35" w:rsidRPr="00C14F35" w:rsidRDefault="00000000">
          <w:pPr>
            <w:pStyle w:val="SK3"/>
            <w:rPr>
              <w:rFonts w:ascii="Calibri" w:eastAsiaTheme="minorEastAsia" w:hAnsi="Calibri" w:cs="Calibri"/>
              <w:noProof/>
              <w:lang w:eastAsia="et-EE"/>
            </w:rPr>
          </w:pPr>
          <w:hyperlink w:anchor="_Toc139536084" w:history="1">
            <w:r w:rsidR="00C14F35" w:rsidRPr="00C14F35">
              <w:rPr>
                <w:rStyle w:val="Hperlink"/>
                <w:rFonts w:ascii="Calibri" w:hAnsi="Calibri" w:cs="Calibri"/>
                <w:noProof/>
              </w:rPr>
              <w:t>1.4.</w:t>
            </w:r>
            <w:r w:rsidR="00C14F35" w:rsidRPr="00C14F35">
              <w:rPr>
                <w:rFonts w:ascii="Calibri" w:eastAsiaTheme="minorEastAsia" w:hAnsi="Calibri" w:cs="Calibri"/>
                <w:noProof/>
                <w:lang w:eastAsia="et-EE"/>
              </w:rPr>
              <w:tab/>
            </w:r>
            <w:r w:rsidR="00C14F35" w:rsidRPr="00C14F35">
              <w:rPr>
                <w:rStyle w:val="Hperlink"/>
                <w:rFonts w:ascii="Calibri" w:hAnsi="Calibri" w:cs="Calibri"/>
                <w:noProof/>
              </w:rPr>
              <w:t>Harvikhaiguste ja eriti suure katmata ravivajaduse ravimite toetusmeetmed (määruse ptk VI, artiklid 63-73)</w:t>
            </w:r>
            <w:r w:rsidR="00C14F35" w:rsidRPr="00C14F35">
              <w:rPr>
                <w:rFonts w:ascii="Calibri" w:hAnsi="Calibri" w:cs="Calibri"/>
                <w:noProof/>
                <w:webHidden/>
              </w:rPr>
              <w:tab/>
            </w:r>
            <w:r w:rsidR="00C14F35" w:rsidRPr="00C14F35">
              <w:rPr>
                <w:rFonts w:ascii="Calibri" w:hAnsi="Calibri" w:cs="Calibri"/>
                <w:noProof/>
                <w:webHidden/>
              </w:rPr>
              <w:fldChar w:fldCharType="begin"/>
            </w:r>
            <w:r w:rsidR="00C14F35" w:rsidRPr="00C14F35">
              <w:rPr>
                <w:rFonts w:ascii="Calibri" w:hAnsi="Calibri" w:cs="Calibri"/>
                <w:noProof/>
                <w:webHidden/>
              </w:rPr>
              <w:instrText xml:space="preserve"> PAGEREF _Toc139536084 \h </w:instrText>
            </w:r>
            <w:r w:rsidR="00C14F35" w:rsidRPr="00C14F35">
              <w:rPr>
                <w:rFonts w:ascii="Calibri" w:hAnsi="Calibri" w:cs="Calibri"/>
                <w:noProof/>
                <w:webHidden/>
              </w:rPr>
            </w:r>
            <w:r w:rsidR="00C14F35" w:rsidRPr="00C14F35">
              <w:rPr>
                <w:rFonts w:ascii="Calibri" w:hAnsi="Calibri" w:cs="Calibri"/>
                <w:noProof/>
                <w:webHidden/>
              </w:rPr>
              <w:fldChar w:fldCharType="separate"/>
            </w:r>
            <w:r w:rsidR="006C3D65">
              <w:rPr>
                <w:rFonts w:ascii="Calibri" w:hAnsi="Calibri" w:cs="Calibri"/>
                <w:noProof/>
                <w:webHidden/>
              </w:rPr>
              <w:t>3</w:t>
            </w:r>
            <w:r w:rsidR="00C14F35" w:rsidRPr="00C14F35">
              <w:rPr>
                <w:rFonts w:ascii="Calibri" w:hAnsi="Calibri" w:cs="Calibri"/>
                <w:noProof/>
                <w:webHidden/>
              </w:rPr>
              <w:fldChar w:fldCharType="end"/>
            </w:r>
          </w:hyperlink>
        </w:p>
        <w:p w14:paraId="1CDB6B26" w14:textId="0E602E58" w:rsidR="00C14F35" w:rsidRPr="00C14F35" w:rsidRDefault="00000000">
          <w:pPr>
            <w:pStyle w:val="SK3"/>
            <w:rPr>
              <w:rFonts w:ascii="Calibri" w:eastAsiaTheme="minorEastAsia" w:hAnsi="Calibri" w:cs="Calibri"/>
              <w:noProof/>
              <w:lang w:eastAsia="et-EE"/>
            </w:rPr>
          </w:pPr>
          <w:hyperlink w:anchor="_Toc139536085" w:history="1">
            <w:r w:rsidR="00C14F35" w:rsidRPr="00C14F35">
              <w:rPr>
                <w:rStyle w:val="Hperlink"/>
                <w:rFonts w:ascii="Calibri" w:hAnsi="Calibri" w:cs="Calibri"/>
                <w:noProof/>
              </w:rPr>
              <w:t>1.5.</w:t>
            </w:r>
            <w:r w:rsidR="00C14F35" w:rsidRPr="00C14F35">
              <w:rPr>
                <w:rFonts w:ascii="Calibri" w:eastAsiaTheme="minorEastAsia" w:hAnsi="Calibri" w:cs="Calibri"/>
                <w:noProof/>
                <w:lang w:eastAsia="et-EE"/>
              </w:rPr>
              <w:tab/>
            </w:r>
            <w:r w:rsidR="00C14F35" w:rsidRPr="00C14F35">
              <w:rPr>
                <w:rStyle w:val="Hperlink"/>
                <w:rFonts w:ascii="Calibri" w:hAnsi="Calibri" w:cs="Calibri"/>
                <w:noProof/>
              </w:rPr>
              <w:t>Pediaatrias kasutatavate ravimite muudatused (määruse ptk VII)</w:t>
            </w:r>
            <w:r w:rsidR="00C14F35" w:rsidRPr="00C14F35">
              <w:rPr>
                <w:rFonts w:ascii="Calibri" w:hAnsi="Calibri" w:cs="Calibri"/>
                <w:noProof/>
                <w:webHidden/>
              </w:rPr>
              <w:tab/>
            </w:r>
            <w:r w:rsidR="00C14F35" w:rsidRPr="00C14F35">
              <w:rPr>
                <w:rFonts w:ascii="Calibri" w:hAnsi="Calibri" w:cs="Calibri"/>
                <w:noProof/>
                <w:webHidden/>
              </w:rPr>
              <w:fldChar w:fldCharType="begin"/>
            </w:r>
            <w:r w:rsidR="00C14F35" w:rsidRPr="00C14F35">
              <w:rPr>
                <w:rFonts w:ascii="Calibri" w:hAnsi="Calibri" w:cs="Calibri"/>
                <w:noProof/>
                <w:webHidden/>
              </w:rPr>
              <w:instrText xml:space="preserve"> PAGEREF _Toc139536085 \h </w:instrText>
            </w:r>
            <w:r w:rsidR="00C14F35" w:rsidRPr="00C14F35">
              <w:rPr>
                <w:rFonts w:ascii="Calibri" w:hAnsi="Calibri" w:cs="Calibri"/>
                <w:noProof/>
                <w:webHidden/>
              </w:rPr>
            </w:r>
            <w:r w:rsidR="00C14F35" w:rsidRPr="00C14F35">
              <w:rPr>
                <w:rFonts w:ascii="Calibri" w:hAnsi="Calibri" w:cs="Calibri"/>
                <w:noProof/>
                <w:webHidden/>
              </w:rPr>
              <w:fldChar w:fldCharType="separate"/>
            </w:r>
            <w:r w:rsidR="006C3D65">
              <w:rPr>
                <w:rFonts w:ascii="Calibri" w:hAnsi="Calibri" w:cs="Calibri"/>
                <w:noProof/>
                <w:webHidden/>
              </w:rPr>
              <w:t>4</w:t>
            </w:r>
            <w:r w:rsidR="00C14F35" w:rsidRPr="00C14F35">
              <w:rPr>
                <w:rFonts w:ascii="Calibri" w:hAnsi="Calibri" w:cs="Calibri"/>
                <w:noProof/>
                <w:webHidden/>
              </w:rPr>
              <w:fldChar w:fldCharType="end"/>
            </w:r>
          </w:hyperlink>
        </w:p>
        <w:p w14:paraId="28AA4CAD" w14:textId="6BD37800" w:rsidR="00C14F35" w:rsidRPr="00C14F35" w:rsidRDefault="00000000">
          <w:pPr>
            <w:pStyle w:val="SK2"/>
            <w:rPr>
              <w:rFonts w:ascii="Calibri" w:eastAsiaTheme="minorEastAsia" w:hAnsi="Calibri" w:cs="Calibri"/>
              <w:b w:val="0"/>
              <w:bCs w:val="0"/>
              <w:lang w:eastAsia="et-EE"/>
            </w:rPr>
          </w:pPr>
          <w:hyperlink w:anchor="_Toc139536086" w:history="1">
            <w:r w:rsidR="00C14F35" w:rsidRPr="00C14F35">
              <w:rPr>
                <w:rStyle w:val="Hperlink"/>
                <w:rFonts w:ascii="Calibri" w:hAnsi="Calibri" w:cs="Calibri"/>
              </w:rPr>
              <w:t>2.</w:t>
            </w:r>
            <w:r w:rsidR="00C14F35" w:rsidRPr="00C14F35">
              <w:rPr>
                <w:rFonts w:ascii="Calibri" w:eastAsiaTheme="minorEastAsia" w:hAnsi="Calibri" w:cs="Calibri"/>
                <w:b w:val="0"/>
                <w:bCs w:val="0"/>
                <w:lang w:eastAsia="et-EE"/>
              </w:rPr>
              <w:tab/>
            </w:r>
            <w:r w:rsidR="00C14F35" w:rsidRPr="00C14F35">
              <w:rPr>
                <w:rStyle w:val="Hperlink"/>
                <w:rFonts w:ascii="Calibri" w:hAnsi="Calibri" w:cs="Calibri"/>
              </w:rPr>
              <w:t>Ravimite kättesaadavus ja tarnekindlus</w:t>
            </w:r>
            <w:r w:rsidR="00C14F35" w:rsidRPr="00C14F35">
              <w:rPr>
                <w:rFonts w:ascii="Calibri" w:hAnsi="Calibri" w:cs="Calibri"/>
                <w:webHidden/>
              </w:rPr>
              <w:tab/>
            </w:r>
            <w:r w:rsidR="00C14F35" w:rsidRPr="00C14F35">
              <w:rPr>
                <w:rFonts w:ascii="Calibri" w:hAnsi="Calibri" w:cs="Calibri"/>
                <w:webHidden/>
              </w:rPr>
              <w:fldChar w:fldCharType="begin"/>
            </w:r>
            <w:r w:rsidR="00C14F35" w:rsidRPr="00C14F35">
              <w:rPr>
                <w:rFonts w:ascii="Calibri" w:hAnsi="Calibri" w:cs="Calibri"/>
                <w:webHidden/>
              </w:rPr>
              <w:instrText xml:space="preserve"> PAGEREF _Toc139536086 \h </w:instrText>
            </w:r>
            <w:r w:rsidR="00C14F35" w:rsidRPr="00C14F35">
              <w:rPr>
                <w:rFonts w:ascii="Calibri" w:hAnsi="Calibri" w:cs="Calibri"/>
                <w:webHidden/>
              </w:rPr>
            </w:r>
            <w:r w:rsidR="00C14F35" w:rsidRPr="00C14F35">
              <w:rPr>
                <w:rFonts w:ascii="Calibri" w:hAnsi="Calibri" w:cs="Calibri"/>
                <w:webHidden/>
              </w:rPr>
              <w:fldChar w:fldCharType="separate"/>
            </w:r>
            <w:r w:rsidR="006C3D65">
              <w:rPr>
                <w:rFonts w:ascii="Calibri" w:hAnsi="Calibri" w:cs="Calibri"/>
                <w:webHidden/>
              </w:rPr>
              <w:t>4</w:t>
            </w:r>
            <w:r w:rsidR="00C14F35" w:rsidRPr="00C14F35">
              <w:rPr>
                <w:rFonts w:ascii="Calibri" w:hAnsi="Calibri" w:cs="Calibri"/>
                <w:webHidden/>
              </w:rPr>
              <w:fldChar w:fldCharType="end"/>
            </w:r>
          </w:hyperlink>
        </w:p>
        <w:p w14:paraId="284C4158" w14:textId="2D88B366" w:rsidR="00C14F35" w:rsidRPr="00C14F35" w:rsidRDefault="00000000">
          <w:pPr>
            <w:pStyle w:val="SK3"/>
            <w:rPr>
              <w:rFonts w:ascii="Calibri" w:eastAsiaTheme="minorEastAsia" w:hAnsi="Calibri" w:cs="Calibri"/>
              <w:noProof/>
              <w:lang w:eastAsia="et-EE"/>
            </w:rPr>
          </w:pPr>
          <w:hyperlink w:anchor="_Toc139536088" w:history="1">
            <w:r w:rsidR="00C14F35" w:rsidRPr="00C14F35">
              <w:rPr>
                <w:rStyle w:val="Hperlink"/>
                <w:rFonts w:ascii="Calibri" w:hAnsi="Calibri" w:cs="Calibri"/>
                <w:noProof/>
              </w:rPr>
              <w:t>2.1.</w:t>
            </w:r>
            <w:r w:rsidR="00C14F35" w:rsidRPr="00C14F35">
              <w:rPr>
                <w:rFonts w:ascii="Calibri" w:eastAsiaTheme="minorEastAsia" w:hAnsi="Calibri" w:cs="Calibri"/>
                <w:noProof/>
                <w:lang w:eastAsia="et-EE"/>
              </w:rPr>
              <w:tab/>
            </w:r>
            <w:r w:rsidR="00C14F35" w:rsidRPr="00C14F35">
              <w:rPr>
                <w:rStyle w:val="Hperlink"/>
                <w:rFonts w:ascii="Calibri" w:hAnsi="Calibri" w:cs="Calibri"/>
                <w:noProof/>
              </w:rPr>
              <w:t>Müügiloa hoidja ja hulgimüüja turustamise kohustus (direktiivi artiklid 56, 166-167)</w:t>
            </w:r>
            <w:r w:rsidR="00C14F35" w:rsidRPr="00C14F35">
              <w:rPr>
                <w:rFonts w:ascii="Calibri" w:hAnsi="Calibri" w:cs="Calibri"/>
                <w:noProof/>
                <w:webHidden/>
              </w:rPr>
              <w:tab/>
            </w:r>
            <w:r w:rsidR="00C14F35" w:rsidRPr="00C14F35">
              <w:rPr>
                <w:rFonts w:ascii="Calibri" w:hAnsi="Calibri" w:cs="Calibri"/>
                <w:noProof/>
                <w:webHidden/>
              </w:rPr>
              <w:fldChar w:fldCharType="begin"/>
            </w:r>
            <w:r w:rsidR="00C14F35" w:rsidRPr="00C14F35">
              <w:rPr>
                <w:rFonts w:ascii="Calibri" w:hAnsi="Calibri" w:cs="Calibri"/>
                <w:noProof/>
                <w:webHidden/>
              </w:rPr>
              <w:instrText xml:space="preserve"> PAGEREF _Toc139536088 \h </w:instrText>
            </w:r>
            <w:r w:rsidR="00C14F35" w:rsidRPr="00C14F35">
              <w:rPr>
                <w:rFonts w:ascii="Calibri" w:hAnsi="Calibri" w:cs="Calibri"/>
                <w:noProof/>
                <w:webHidden/>
              </w:rPr>
            </w:r>
            <w:r w:rsidR="00C14F35" w:rsidRPr="00C14F35">
              <w:rPr>
                <w:rFonts w:ascii="Calibri" w:hAnsi="Calibri" w:cs="Calibri"/>
                <w:noProof/>
                <w:webHidden/>
              </w:rPr>
              <w:fldChar w:fldCharType="separate"/>
            </w:r>
            <w:r w:rsidR="006C3D65">
              <w:rPr>
                <w:rFonts w:ascii="Calibri" w:hAnsi="Calibri" w:cs="Calibri"/>
                <w:noProof/>
                <w:webHidden/>
              </w:rPr>
              <w:t>4</w:t>
            </w:r>
            <w:r w:rsidR="00C14F35" w:rsidRPr="00C14F35">
              <w:rPr>
                <w:rFonts w:ascii="Calibri" w:hAnsi="Calibri" w:cs="Calibri"/>
                <w:noProof/>
                <w:webHidden/>
              </w:rPr>
              <w:fldChar w:fldCharType="end"/>
            </w:r>
          </w:hyperlink>
        </w:p>
        <w:p w14:paraId="1073A52A" w14:textId="5B0EA670" w:rsidR="00C14F35" w:rsidRPr="00C14F35" w:rsidRDefault="00000000">
          <w:pPr>
            <w:pStyle w:val="SK3"/>
            <w:rPr>
              <w:rFonts w:ascii="Calibri" w:eastAsiaTheme="minorEastAsia" w:hAnsi="Calibri" w:cs="Calibri"/>
              <w:noProof/>
              <w:lang w:eastAsia="et-EE"/>
            </w:rPr>
          </w:pPr>
          <w:hyperlink w:anchor="_Toc139536089" w:history="1">
            <w:r w:rsidR="00C14F35" w:rsidRPr="00C14F35">
              <w:rPr>
                <w:rStyle w:val="Hperlink"/>
                <w:rFonts w:ascii="Calibri" w:hAnsi="Calibri" w:cs="Calibri"/>
                <w:noProof/>
              </w:rPr>
              <w:t>2.2.</w:t>
            </w:r>
            <w:r w:rsidR="00C14F35" w:rsidRPr="00C14F35">
              <w:rPr>
                <w:rFonts w:ascii="Calibri" w:eastAsiaTheme="minorEastAsia" w:hAnsi="Calibri" w:cs="Calibri"/>
                <w:noProof/>
                <w:lang w:eastAsia="et-EE"/>
              </w:rPr>
              <w:tab/>
            </w:r>
            <w:r w:rsidR="00C14F35" w:rsidRPr="00C14F35">
              <w:rPr>
                <w:rStyle w:val="Hperlink"/>
                <w:rFonts w:ascii="Calibri" w:hAnsi="Calibri" w:cs="Calibri"/>
                <w:noProof/>
              </w:rPr>
              <w:t>Koordineeritud seire ja raviminappuste haldamise süsteem (määruse ptk X)</w:t>
            </w:r>
            <w:r w:rsidR="00C14F35" w:rsidRPr="00C14F35">
              <w:rPr>
                <w:rFonts w:ascii="Calibri" w:hAnsi="Calibri" w:cs="Calibri"/>
                <w:noProof/>
                <w:webHidden/>
              </w:rPr>
              <w:tab/>
            </w:r>
            <w:r w:rsidR="00C14F35" w:rsidRPr="00C14F35">
              <w:rPr>
                <w:rFonts w:ascii="Calibri" w:hAnsi="Calibri" w:cs="Calibri"/>
                <w:noProof/>
                <w:webHidden/>
              </w:rPr>
              <w:fldChar w:fldCharType="begin"/>
            </w:r>
            <w:r w:rsidR="00C14F35" w:rsidRPr="00C14F35">
              <w:rPr>
                <w:rFonts w:ascii="Calibri" w:hAnsi="Calibri" w:cs="Calibri"/>
                <w:noProof/>
                <w:webHidden/>
              </w:rPr>
              <w:instrText xml:space="preserve"> PAGEREF _Toc139536089 \h </w:instrText>
            </w:r>
            <w:r w:rsidR="00C14F35" w:rsidRPr="00C14F35">
              <w:rPr>
                <w:rFonts w:ascii="Calibri" w:hAnsi="Calibri" w:cs="Calibri"/>
                <w:noProof/>
                <w:webHidden/>
              </w:rPr>
            </w:r>
            <w:r w:rsidR="00C14F35" w:rsidRPr="00C14F35">
              <w:rPr>
                <w:rFonts w:ascii="Calibri" w:hAnsi="Calibri" w:cs="Calibri"/>
                <w:noProof/>
                <w:webHidden/>
              </w:rPr>
              <w:fldChar w:fldCharType="separate"/>
            </w:r>
            <w:r w:rsidR="006C3D65">
              <w:rPr>
                <w:rFonts w:ascii="Calibri" w:hAnsi="Calibri" w:cs="Calibri"/>
                <w:noProof/>
                <w:webHidden/>
              </w:rPr>
              <w:t>5</w:t>
            </w:r>
            <w:r w:rsidR="00C14F35" w:rsidRPr="00C14F35">
              <w:rPr>
                <w:rFonts w:ascii="Calibri" w:hAnsi="Calibri" w:cs="Calibri"/>
                <w:noProof/>
                <w:webHidden/>
              </w:rPr>
              <w:fldChar w:fldCharType="end"/>
            </w:r>
          </w:hyperlink>
        </w:p>
        <w:p w14:paraId="3F93E7B7" w14:textId="08A5472D" w:rsidR="00C14F35" w:rsidRPr="00C14F35" w:rsidRDefault="00000000">
          <w:pPr>
            <w:pStyle w:val="SK3"/>
            <w:rPr>
              <w:rFonts w:ascii="Calibri" w:eastAsiaTheme="minorEastAsia" w:hAnsi="Calibri" w:cs="Calibri"/>
              <w:noProof/>
              <w:lang w:eastAsia="et-EE"/>
            </w:rPr>
          </w:pPr>
          <w:hyperlink w:anchor="_Toc139536090" w:history="1">
            <w:r w:rsidR="00C14F35" w:rsidRPr="00C14F35">
              <w:rPr>
                <w:rStyle w:val="Hperlink"/>
                <w:rFonts w:ascii="Calibri" w:hAnsi="Calibri" w:cs="Calibri"/>
                <w:noProof/>
              </w:rPr>
              <w:t>2.3.</w:t>
            </w:r>
            <w:r w:rsidR="00C14F35" w:rsidRPr="00C14F35">
              <w:rPr>
                <w:rFonts w:ascii="Calibri" w:eastAsiaTheme="minorEastAsia" w:hAnsi="Calibri" w:cs="Calibri"/>
                <w:noProof/>
                <w:lang w:eastAsia="et-EE"/>
              </w:rPr>
              <w:tab/>
            </w:r>
            <w:r w:rsidR="00C14F35" w:rsidRPr="00C14F35">
              <w:rPr>
                <w:rStyle w:val="Hperlink"/>
                <w:rFonts w:ascii="Calibri" w:hAnsi="Calibri" w:cs="Calibri"/>
                <w:noProof/>
              </w:rPr>
              <w:t>Varasem teavitamine ravimitootja poolt (määruse artikkel 116)</w:t>
            </w:r>
            <w:r w:rsidR="00C14F35" w:rsidRPr="00C14F35">
              <w:rPr>
                <w:rFonts w:ascii="Calibri" w:hAnsi="Calibri" w:cs="Calibri"/>
                <w:noProof/>
                <w:webHidden/>
              </w:rPr>
              <w:tab/>
            </w:r>
            <w:r w:rsidR="00C14F35" w:rsidRPr="00C14F35">
              <w:rPr>
                <w:rFonts w:ascii="Calibri" w:hAnsi="Calibri" w:cs="Calibri"/>
                <w:noProof/>
                <w:webHidden/>
              </w:rPr>
              <w:fldChar w:fldCharType="begin"/>
            </w:r>
            <w:r w:rsidR="00C14F35" w:rsidRPr="00C14F35">
              <w:rPr>
                <w:rFonts w:ascii="Calibri" w:hAnsi="Calibri" w:cs="Calibri"/>
                <w:noProof/>
                <w:webHidden/>
              </w:rPr>
              <w:instrText xml:space="preserve"> PAGEREF _Toc139536090 \h </w:instrText>
            </w:r>
            <w:r w:rsidR="00C14F35" w:rsidRPr="00C14F35">
              <w:rPr>
                <w:rFonts w:ascii="Calibri" w:hAnsi="Calibri" w:cs="Calibri"/>
                <w:noProof/>
                <w:webHidden/>
              </w:rPr>
            </w:r>
            <w:r w:rsidR="00C14F35" w:rsidRPr="00C14F35">
              <w:rPr>
                <w:rFonts w:ascii="Calibri" w:hAnsi="Calibri" w:cs="Calibri"/>
                <w:noProof/>
                <w:webHidden/>
              </w:rPr>
              <w:fldChar w:fldCharType="separate"/>
            </w:r>
            <w:r w:rsidR="006C3D65">
              <w:rPr>
                <w:rFonts w:ascii="Calibri" w:hAnsi="Calibri" w:cs="Calibri"/>
                <w:noProof/>
                <w:webHidden/>
              </w:rPr>
              <w:t>5</w:t>
            </w:r>
            <w:r w:rsidR="00C14F35" w:rsidRPr="00C14F35">
              <w:rPr>
                <w:rFonts w:ascii="Calibri" w:hAnsi="Calibri" w:cs="Calibri"/>
                <w:noProof/>
                <w:webHidden/>
              </w:rPr>
              <w:fldChar w:fldCharType="end"/>
            </w:r>
          </w:hyperlink>
        </w:p>
        <w:p w14:paraId="282D3ECF" w14:textId="1F291A2F" w:rsidR="00C14F35" w:rsidRPr="00C14F35" w:rsidRDefault="00000000">
          <w:pPr>
            <w:pStyle w:val="SK3"/>
            <w:rPr>
              <w:rFonts w:ascii="Calibri" w:eastAsiaTheme="minorEastAsia" w:hAnsi="Calibri" w:cs="Calibri"/>
              <w:noProof/>
              <w:lang w:eastAsia="et-EE"/>
            </w:rPr>
          </w:pPr>
          <w:hyperlink w:anchor="_Toc139536091" w:history="1">
            <w:r w:rsidR="00C14F35" w:rsidRPr="00C14F35">
              <w:rPr>
                <w:rStyle w:val="Hperlink"/>
                <w:rFonts w:ascii="Calibri" w:hAnsi="Calibri" w:cs="Calibri"/>
                <w:noProof/>
              </w:rPr>
              <w:t>2.4.</w:t>
            </w:r>
            <w:r w:rsidR="00C14F35" w:rsidRPr="00C14F35">
              <w:rPr>
                <w:rFonts w:ascii="Calibri" w:eastAsiaTheme="minorEastAsia" w:hAnsi="Calibri" w:cs="Calibri"/>
                <w:noProof/>
                <w:lang w:eastAsia="et-EE"/>
              </w:rPr>
              <w:tab/>
            </w:r>
            <w:r w:rsidR="00C14F35" w:rsidRPr="00C14F35">
              <w:rPr>
                <w:rStyle w:val="Hperlink"/>
                <w:rFonts w:ascii="Calibri" w:hAnsi="Calibri" w:cs="Calibri"/>
                <w:noProof/>
              </w:rPr>
              <w:t>Raviminappuste ennetamise ja leevendamise plaanid (määruse artikkel 117, 118)</w:t>
            </w:r>
            <w:r w:rsidR="00C14F35" w:rsidRPr="00C14F35">
              <w:rPr>
                <w:rFonts w:ascii="Calibri" w:hAnsi="Calibri" w:cs="Calibri"/>
                <w:noProof/>
                <w:webHidden/>
              </w:rPr>
              <w:tab/>
            </w:r>
            <w:r w:rsidR="00C14F35" w:rsidRPr="00C14F35">
              <w:rPr>
                <w:rFonts w:ascii="Calibri" w:hAnsi="Calibri" w:cs="Calibri"/>
                <w:noProof/>
                <w:webHidden/>
              </w:rPr>
              <w:fldChar w:fldCharType="begin"/>
            </w:r>
            <w:r w:rsidR="00C14F35" w:rsidRPr="00C14F35">
              <w:rPr>
                <w:rFonts w:ascii="Calibri" w:hAnsi="Calibri" w:cs="Calibri"/>
                <w:noProof/>
                <w:webHidden/>
              </w:rPr>
              <w:instrText xml:space="preserve"> PAGEREF _Toc139536091 \h </w:instrText>
            </w:r>
            <w:r w:rsidR="00C14F35" w:rsidRPr="00C14F35">
              <w:rPr>
                <w:rFonts w:ascii="Calibri" w:hAnsi="Calibri" w:cs="Calibri"/>
                <w:noProof/>
                <w:webHidden/>
              </w:rPr>
            </w:r>
            <w:r w:rsidR="00C14F35" w:rsidRPr="00C14F35">
              <w:rPr>
                <w:rFonts w:ascii="Calibri" w:hAnsi="Calibri" w:cs="Calibri"/>
                <w:noProof/>
                <w:webHidden/>
              </w:rPr>
              <w:fldChar w:fldCharType="separate"/>
            </w:r>
            <w:r w:rsidR="006C3D65">
              <w:rPr>
                <w:rFonts w:ascii="Calibri" w:hAnsi="Calibri" w:cs="Calibri"/>
                <w:noProof/>
                <w:webHidden/>
              </w:rPr>
              <w:t>5</w:t>
            </w:r>
            <w:r w:rsidR="00C14F35" w:rsidRPr="00C14F35">
              <w:rPr>
                <w:rFonts w:ascii="Calibri" w:hAnsi="Calibri" w:cs="Calibri"/>
                <w:noProof/>
                <w:webHidden/>
              </w:rPr>
              <w:fldChar w:fldCharType="end"/>
            </w:r>
          </w:hyperlink>
        </w:p>
        <w:p w14:paraId="6ACF512E" w14:textId="1896F941" w:rsidR="00C14F35" w:rsidRPr="00C14F35" w:rsidRDefault="00000000">
          <w:pPr>
            <w:pStyle w:val="SK3"/>
            <w:rPr>
              <w:rFonts w:ascii="Calibri" w:eastAsiaTheme="minorEastAsia" w:hAnsi="Calibri" w:cs="Calibri"/>
              <w:noProof/>
              <w:lang w:eastAsia="et-EE"/>
            </w:rPr>
          </w:pPr>
          <w:hyperlink w:anchor="_Toc139536092" w:history="1">
            <w:r w:rsidR="00C14F35" w:rsidRPr="00C14F35">
              <w:rPr>
                <w:rStyle w:val="Hperlink"/>
                <w:rFonts w:ascii="Calibri" w:hAnsi="Calibri" w:cs="Calibri"/>
                <w:noProof/>
              </w:rPr>
              <w:t>2.5.</w:t>
            </w:r>
            <w:r w:rsidR="00C14F35" w:rsidRPr="00C14F35">
              <w:rPr>
                <w:rFonts w:ascii="Calibri" w:eastAsiaTheme="minorEastAsia" w:hAnsi="Calibri" w:cs="Calibri"/>
                <w:noProof/>
                <w:lang w:eastAsia="et-EE"/>
              </w:rPr>
              <w:tab/>
            </w:r>
            <w:r w:rsidR="00C14F35" w:rsidRPr="00C14F35">
              <w:rPr>
                <w:rStyle w:val="Hperlink"/>
                <w:rFonts w:ascii="Calibri" w:hAnsi="Calibri" w:cs="Calibri"/>
                <w:noProof/>
              </w:rPr>
              <w:t>EL nimekiri kriitilistest ravimitest (määruse artikkel 131)</w:t>
            </w:r>
            <w:r w:rsidR="00C14F35" w:rsidRPr="00C14F35">
              <w:rPr>
                <w:rFonts w:ascii="Calibri" w:hAnsi="Calibri" w:cs="Calibri"/>
                <w:noProof/>
                <w:webHidden/>
              </w:rPr>
              <w:tab/>
            </w:r>
            <w:r w:rsidR="00C14F35" w:rsidRPr="00C14F35">
              <w:rPr>
                <w:rFonts w:ascii="Calibri" w:hAnsi="Calibri" w:cs="Calibri"/>
                <w:noProof/>
                <w:webHidden/>
              </w:rPr>
              <w:fldChar w:fldCharType="begin"/>
            </w:r>
            <w:r w:rsidR="00C14F35" w:rsidRPr="00C14F35">
              <w:rPr>
                <w:rFonts w:ascii="Calibri" w:hAnsi="Calibri" w:cs="Calibri"/>
                <w:noProof/>
                <w:webHidden/>
              </w:rPr>
              <w:instrText xml:space="preserve"> PAGEREF _Toc139536092 \h </w:instrText>
            </w:r>
            <w:r w:rsidR="00C14F35" w:rsidRPr="00C14F35">
              <w:rPr>
                <w:rFonts w:ascii="Calibri" w:hAnsi="Calibri" w:cs="Calibri"/>
                <w:noProof/>
                <w:webHidden/>
              </w:rPr>
            </w:r>
            <w:r w:rsidR="00C14F35" w:rsidRPr="00C14F35">
              <w:rPr>
                <w:rFonts w:ascii="Calibri" w:hAnsi="Calibri" w:cs="Calibri"/>
                <w:noProof/>
                <w:webHidden/>
              </w:rPr>
              <w:fldChar w:fldCharType="separate"/>
            </w:r>
            <w:r w:rsidR="006C3D65">
              <w:rPr>
                <w:rFonts w:ascii="Calibri" w:hAnsi="Calibri" w:cs="Calibri"/>
                <w:noProof/>
                <w:webHidden/>
              </w:rPr>
              <w:t>5</w:t>
            </w:r>
            <w:r w:rsidR="00C14F35" w:rsidRPr="00C14F35">
              <w:rPr>
                <w:rFonts w:ascii="Calibri" w:hAnsi="Calibri" w:cs="Calibri"/>
                <w:noProof/>
                <w:webHidden/>
              </w:rPr>
              <w:fldChar w:fldCharType="end"/>
            </w:r>
          </w:hyperlink>
        </w:p>
        <w:p w14:paraId="2E6A4494" w14:textId="54A637A5" w:rsidR="00C14F35" w:rsidRPr="00C14F35" w:rsidRDefault="00000000">
          <w:pPr>
            <w:pStyle w:val="SK2"/>
            <w:rPr>
              <w:rFonts w:ascii="Calibri" w:eastAsiaTheme="minorEastAsia" w:hAnsi="Calibri" w:cs="Calibri"/>
              <w:b w:val="0"/>
              <w:bCs w:val="0"/>
              <w:lang w:eastAsia="et-EE"/>
            </w:rPr>
          </w:pPr>
          <w:hyperlink w:anchor="_Toc139536093" w:history="1">
            <w:r w:rsidR="00C14F35" w:rsidRPr="00C14F35">
              <w:rPr>
                <w:rStyle w:val="Hperlink"/>
                <w:rFonts w:ascii="Calibri" w:hAnsi="Calibri" w:cs="Calibri"/>
              </w:rPr>
              <w:t>3.</w:t>
            </w:r>
            <w:r w:rsidR="00C14F35" w:rsidRPr="00C14F35">
              <w:rPr>
                <w:rFonts w:ascii="Calibri" w:eastAsiaTheme="minorEastAsia" w:hAnsi="Calibri" w:cs="Calibri"/>
                <w:b w:val="0"/>
                <w:bCs w:val="0"/>
                <w:lang w:eastAsia="et-EE"/>
              </w:rPr>
              <w:tab/>
            </w:r>
            <w:r w:rsidR="00C14F35" w:rsidRPr="00C14F35">
              <w:rPr>
                <w:rStyle w:val="Hperlink"/>
                <w:rFonts w:ascii="Calibri" w:hAnsi="Calibri" w:cs="Calibri"/>
              </w:rPr>
              <w:t>Euroopa ravimisektori konkurentsivõime</w:t>
            </w:r>
            <w:r w:rsidR="00C14F35" w:rsidRPr="00C14F35">
              <w:rPr>
                <w:rFonts w:ascii="Calibri" w:hAnsi="Calibri" w:cs="Calibri"/>
                <w:webHidden/>
              </w:rPr>
              <w:tab/>
            </w:r>
            <w:r w:rsidR="00C14F35" w:rsidRPr="00C14F35">
              <w:rPr>
                <w:rFonts w:ascii="Calibri" w:hAnsi="Calibri" w:cs="Calibri"/>
                <w:webHidden/>
              </w:rPr>
              <w:fldChar w:fldCharType="begin"/>
            </w:r>
            <w:r w:rsidR="00C14F35" w:rsidRPr="00C14F35">
              <w:rPr>
                <w:rFonts w:ascii="Calibri" w:hAnsi="Calibri" w:cs="Calibri"/>
                <w:webHidden/>
              </w:rPr>
              <w:instrText xml:space="preserve"> PAGEREF _Toc139536093 \h </w:instrText>
            </w:r>
            <w:r w:rsidR="00C14F35" w:rsidRPr="00C14F35">
              <w:rPr>
                <w:rFonts w:ascii="Calibri" w:hAnsi="Calibri" w:cs="Calibri"/>
                <w:webHidden/>
              </w:rPr>
            </w:r>
            <w:r w:rsidR="00C14F35" w:rsidRPr="00C14F35">
              <w:rPr>
                <w:rFonts w:ascii="Calibri" w:hAnsi="Calibri" w:cs="Calibri"/>
                <w:webHidden/>
              </w:rPr>
              <w:fldChar w:fldCharType="separate"/>
            </w:r>
            <w:r w:rsidR="006C3D65">
              <w:rPr>
                <w:rFonts w:ascii="Calibri" w:hAnsi="Calibri" w:cs="Calibri"/>
                <w:webHidden/>
              </w:rPr>
              <w:t>6</w:t>
            </w:r>
            <w:r w:rsidR="00C14F35" w:rsidRPr="00C14F35">
              <w:rPr>
                <w:rFonts w:ascii="Calibri" w:hAnsi="Calibri" w:cs="Calibri"/>
                <w:webHidden/>
              </w:rPr>
              <w:fldChar w:fldCharType="end"/>
            </w:r>
          </w:hyperlink>
        </w:p>
        <w:p w14:paraId="3DD5A6C6" w14:textId="42325B28" w:rsidR="00C14F35" w:rsidRPr="00C14F35" w:rsidRDefault="00000000">
          <w:pPr>
            <w:pStyle w:val="SK3"/>
            <w:rPr>
              <w:rFonts w:ascii="Calibri" w:eastAsiaTheme="minorEastAsia" w:hAnsi="Calibri" w:cs="Calibri"/>
              <w:noProof/>
              <w:lang w:eastAsia="et-EE"/>
            </w:rPr>
          </w:pPr>
          <w:hyperlink w:anchor="_Toc139536095" w:history="1">
            <w:r w:rsidR="00C14F35" w:rsidRPr="00C14F35">
              <w:rPr>
                <w:rStyle w:val="Hperlink"/>
                <w:rFonts w:ascii="Calibri" w:hAnsi="Calibri" w:cs="Calibri"/>
                <w:noProof/>
              </w:rPr>
              <w:t>3.1.</w:t>
            </w:r>
            <w:r w:rsidR="00C14F35" w:rsidRPr="00C14F35">
              <w:rPr>
                <w:rFonts w:ascii="Calibri" w:eastAsiaTheme="minorEastAsia" w:hAnsi="Calibri" w:cs="Calibri"/>
                <w:noProof/>
                <w:lang w:eastAsia="et-EE"/>
              </w:rPr>
              <w:tab/>
            </w:r>
            <w:r w:rsidR="00C14F35" w:rsidRPr="00C14F35">
              <w:rPr>
                <w:rStyle w:val="Hperlink"/>
                <w:rFonts w:ascii="Calibri" w:hAnsi="Calibri" w:cs="Calibri"/>
                <w:noProof/>
              </w:rPr>
              <w:t>Müügilubade menetlustähtaegade lühendamine (direktiivi artikkel 30, määruses art 6.6)</w:t>
            </w:r>
            <w:r w:rsidR="00C14F35" w:rsidRPr="00C14F35">
              <w:rPr>
                <w:rFonts w:ascii="Calibri" w:hAnsi="Calibri" w:cs="Calibri"/>
                <w:noProof/>
                <w:webHidden/>
              </w:rPr>
              <w:tab/>
            </w:r>
            <w:r w:rsidR="00C14F35" w:rsidRPr="00C14F35">
              <w:rPr>
                <w:rFonts w:ascii="Calibri" w:hAnsi="Calibri" w:cs="Calibri"/>
                <w:noProof/>
                <w:webHidden/>
              </w:rPr>
              <w:fldChar w:fldCharType="begin"/>
            </w:r>
            <w:r w:rsidR="00C14F35" w:rsidRPr="00C14F35">
              <w:rPr>
                <w:rFonts w:ascii="Calibri" w:hAnsi="Calibri" w:cs="Calibri"/>
                <w:noProof/>
                <w:webHidden/>
              </w:rPr>
              <w:instrText xml:space="preserve"> PAGEREF _Toc139536095 \h </w:instrText>
            </w:r>
            <w:r w:rsidR="00C14F35" w:rsidRPr="00C14F35">
              <w:rPr>
                <w:rFonts w:ascii="Calibri" w:hAnsi="Calibri" w:cs="Calibri"/>
                <w:noProof/>
                <w:webHidden/>
              </w:rPr>
            </w:r>
            <w:r w:rsidR="00C14F35" w:rsidRPr="00C14F35">
              <w:rPr>
                <w:rFonts w:ascii="Calibri" w:hAnsi="Calibri" w:cs="Calibri"/>
                <w:noProof/>
                <w:webHidden/>
              </w:rPr>
              <w:fldChar w:fldCharType="separate"/>
            </w:r>
            <w:r w:rsidR="006C3D65">
              <w:rPr>
                <w:rFonts w:ascii="Calibri" w:hAnsi="Calibri" w:cs="Calibri"/>
                <w:noProof/>
                <w:webHidden/>
              </w:rPr>
              <w:t>6</w:t>
            </w:r>
            <w:r w:rsidR="00C14F35" w:rsidRPr="00C14F35">
              <w:rPr>
                <w:rFonts w:ascii="Calibri" w:hAnsi="Calibri" w:cs="Calibri"/>
                <w:noProof/>
                <w:webHidden/>
              </w:rPr>
              <w:fldChar w:fldCharType="end"/>
            </w:r>
          </w:hyperlink>
        </w:p>
        <w:p w14:paraId="486BDEEF" w14:textId="46F5CD9E" w:rsidR="00C14F35" w:rsidRPr="00C14F35" w:rsidRDefault="00000000">
          <w:pPr>
            <w:pStyle w:val="SK3"/>
            <w:rPr>
              <w:rFonts w:ascii="Calibri" w:eastAsiaTheme="minorEastAsia" w:hAnsi="Calibri" w:cs="Calibri"/>
              <w:noProof/>
              <w:lang w:eastAsia="et-EE"/>
            </w:rPr>
          </w:pPr>
          <w:hyperlink w:anchor="_Toc139536096" w:history="1">
            <w:r w:rsidR="00C14F35" w:rsidRPr="00C14F35">
              <w:rPr>
                <w:rStyle w:val="Hperlink"/>
                <w:rFonts w:ascii="Calibri" w:hAnsi="Calibri" w:cs="Calibri"/>
                <w:noProof/>
              </w:rPr>
              <w:t>3.2.</w:t>
            </w:r>
            <w:r w:rsidR="00C14F35" w:rsidRPr="00C14F35">
              <w:rPr>
                <w:rFonts w:ascii="Calibri" w:eastAsiaTheme="minorEastAsia" w:hAnsi="Calibri" w:cs="Calibri"/>
                <w:noProof/>
                <w:lang w:eastAsia="et-EE"/>
              </w:rPr>
              <w:tab/>
            </w:r>
            <w:r w:rsidR="00C14F35" w:rsidRPr="00C14F35">
              <w:rPr>
                <w:rStyle w:val="Hperlink"/>
                <w:rFonts w:ascii="Calibri" w:hAnsi="Calibri" w:cs="Calibri"/>
                <w:noProof/>
              </w:rPr>
              <w:t>Õigusraamistiku lihtsustamine</w:t>
            </w:r>
            <w:r w:rsidR="00C14F35" w:rsidRPr="00C14F35">
              <w:rPr>
                <w:rFonts w:ascii="Calibri" w:hAnsi="Calibri" w:cs="Calibri"/>
                <w:noProof/>
                <w:webHidden/>
              </w:rPr>
              <w:tab/>
            </w:r>
            <w:r w:rsidR="00C14F35" w:rsidRPr="00C14F35">
              <w:rPr>
                <w:rFonts w:ascii="Calibri" w:hAnsi="Calibri" w:cs="Calibri"/>
                <w:noProof/>
                <w:webHidden/>
              </w:rPr>
              <w:fldChar w:fldCharType="begin"/>
            </w:r>
            <w:r w:rsidR="00C14F35" w:rsidRPr="00C14F35">
              <w:rPr>
                <w:rFonts w:ascii="Calibri" w:hAnsi="Calibri" w:cs="Calibri"/>
                <w:noProof/>
                <w:webHidden/>
              </w:rPr>
              <w:instrText xml:space="preserve"> PAGEREF _Toc139536096 \h </w:instrText>
            </w:r>
            <w:r w:rsidR="00C14F35" w:rsidRPr="00C14F35">
              <w:rPr>
                <w:rFonts w:ascii="Calibri" w:hAnsi="Calibri" w:cs="Calibri"/>
                <w:noProof/>
                <w:webHidden/>
              </w:rPr>
            </w:r>
            <w:r w:rsidR="00C14F35" w:rsidRPr="00C14F35">
              <w:rPr>
                <w:rFonts w:ascii="Calibri" w:hAnsi="Calibri" w:cs="Calibri"/>
                <w:noProof/>
                <w:webHidden/>
              </w:rPr>
              <w:fldChar w:fldCharType="separate"/>
            </w:r>
            <w:r w:rsidR="006C3D65">
              <w:rPr>
                <w:rFonts w:ascii="Calibri" w:hAnsi="Calibri" w:cs="Calibri"/>
                <w:noProof/>
                <w:webHidden/>
              </w:rPr>
              <w:t>6</w:t>
            </w:r>
            <w:r w:rsidR="00C14F35" w:rsidRPr="00C14F35">
              <w:rPr>
                <w:rFonts w:ascii="Calibri" w:hAnsi="Calibri" w:cs="Calibri"/>
                <w:noProof/>
                <w:webHidden/>
              </w:rPr>
              <w:fldChar w:fldCharType="end"/>
            </w:r>
          </w:hyperlink>
        </w:p>
        <w:p w14:paraId="6D544AF7" w14:textId="0582786C" w:rsidR="00C14F35" w:rsidRPr="00C14F35" w:rsidRDefault="00000000">
          <w:pPr>
            <w:pStyle w:val="SK3"/>
            <w:rPr>
              <w:rFonts w:ascii="Calibri" w:eastAsiaTheme="minorEastAsia" w:hAnsi="Calibri" w:cs="Calibri"/>
              <w:noProof/>
              <w:lang w:eastAsia="et-EE"/>
            </w:rPr>
          </w:pPr>
          <w:hyperlink w:anchor="_Toc139536097" w:history="1">
            <w:r w:rsidR="00C14F35" w:rsidRPr="00C14F35">
              <w:rPr>
                <w:rStyle w:val="Hperlink"/>
                <w:rFonts w:ascii="Calibri" w:hAnsi="Calibri" w:cs="Calibri"/>
                <w:noProof/>
              </w:rPr>
              <w:t>3.3.</w:t>
            </w:r>
            <w:r w:rsidR="00C14F35" w:rsidRPr="00C14F35">
              <w:rPr>
                <w:rFonts w:ascii="Calibri" w:eastAsiaTheme="minorEastAsia" w:hAnsi="Calibri" w:cs="Calibri"/>
                <w:noProof/>
                <w:lang w:eastAsia="et-EE"/>
              </w:rPr>
              <w:tab/>
            </w:r>
            <w:r w:rsidR="00C14F35" w:rsidRPr="00C14F35">
              <w:rPr>
                <w:rStyle w:val="Hperlink"/>
                <w:rFonts w:ascii="Calibri" w:hAnsi="Calibri" w:cs="Calibri"/>
                <w:noProof/>
              </w:rPr>
              <w:t>EMA struktuuri muudatused (määruse ptk XI)</w:t>
            </w:r>
            <w:r w:rsidR="00C14F35" w:rsidRPr="00C14F35">
              <w:rPr>
                <w:rFonts w:ascii="Calibri" w:hAnsi="Calibri" w:cs="Calibri"/>
                <w:noProof/>
                <w:webHidden/>
              </w:rPr>
              <w:tab/>
            </w:r>
            <w:r w:rsidR="00C14F35" w:rsidRPr="00C14F35">
              <w:rPr>
                <w:rFonts w:ascii="Calibri" w:hAnsi="Calibri" w:cs="Calibri"/>
                <w:noProof/>
                <w:webHidden/>
              </w:rPr>
              <w:fldChar w:fldCharType="begin"/>
            </w:r>
            <w:r w:rsidR="00C14F35" w:rsidRPr="00C14F35">
              <w:rPr>
                <w:rFonts w:ascii="Calibri" w:hAnsi="Calibri" w:cs="Calibri"/>
                <w:noProof/>
                <w:webHidden/>
              </w:rPr>
              <w:instrText xml:space="preserve"> PAGEREF _Toc139536097 \h </w:instrText>
            </w:r>
            <w:r w:rsidR="00C14F35" w:rsidRPr="00C14F35">
              <w:rPr>
                <w:rFonts w:ascii="Calibri" w:hAnsi="Calibri" w:cs="Calibri"/>
                <w:noProof/>
                <w:webHidden/>
              </w:rPr>
            </w:r>
            <w:r w:rsidR="00C14F35" w:rsidRPr="00C14F35">
              <w:rPr>
                <w:rFonts w:ascii="Calibri" w:hAnsi="Calibri" w:cs="Calibri"/>
                <w:noProof/>
                <w:webHidden/>
              </w:rPr>
              <w:fldChar w:fldCharType="separate"/>
            </w:r>
            <w:r w:rsidR="006C3D65">
              <w:rPr>
                <w:rFonts w:ascii="Calibri" w:hAnsi="Calibri" w:cs="Calibri"/>
                <w:noProof/>
                <w:webHidden/>
              </w:rPr>
              <w:t>6</w:t>
            </w:r>
            <w:r w:rsidR="00C14F35" w:rsidRPr="00C14F35">
              <w:rPr>
                <w:rFonts w:ascii="Calibri" w:hAnsi="Calibri" w:cs="Calibri"/>
                <w:noProof/>
                <w:webHidden/>
              </w:rPr>
              <w:fldChar w:fldCharType="end"/>
            </w:r>
          </w:hyperlink>
        </w:p>
        <w:p w14:paraId="55CCE542" w14:textId="6D03A0BC" w:rsidR="00C14F35" w:rsidRPr="00C14F35" w:rsidRDefault="00000000">
          <w:pPr>
            <w:pStyle w:val="SK3"/>
            <w:rPr>
              <w:rFonts w:ascii="Calibri" w:eastAsiaTheme="minorEastAsia" w:hAnsi="Calibri" w:cs="Calibri"/>
              <w:noProof/>
              <w:lang w:eastAsia="et-EE"/>
            </w:rPr>
          </w:pPr>
          <w:hyperlink w:anchor="_Toc139536098" w:history="1">
            <w:r w:rsidR="00C14F35" w:rsidRPr="00C14F35">
              <w:rPr>
                <w:rStyle w:val="Hperlink"/>
                <w:rFonts w:ascii="Calibri" w:hAnsi="Calibri" w:cs="Calibri"/>
                <w:noProof/>
              </w:rPr>
              <w:t>3.4.</w:t>
            </w:r>
            <w:r w:rsidR="00C14F35" w:rsidRPr="00C14F35">
              <w:rPr>
                <w:rFonts w:ascii="Calibri" w:eastAsiaTheme="minorEastAsia" w:hAnsi="Calibri" w:cs="Calibri"/>
                <w:noProof/>
                <w:lang w:eastAsia="et-EE"/>
              </w:rPr>
              <w:tab/>
            </w:r>
            <w:r w:rsidR="00C14F35" w:rsidRPr="00C14F35">
              <w:rPr>
                <w:rStyle w:val="Hperlink"/>
                <w:rFonts w:ascii="Calibri" w:hAnsi="Calibri" w:cs="Calibri"/>
                <w:noProof/>
              </w:rPr>
              <w:t>Testkeskkonnad uutele tehnoloogiatele (sandboxes, adapted frameworks, PRIME) (määruse ptk IX, direktiivi artikkel 28, määruse ptk V)</w:t>
            </w:r>
            <w:r w:rsidR="00C14F35" w:rsidRPr="00C14F35">
              <w:rPr>
                <w:rFonts w:ascii="Calibri" w:hAnsi="Calibri" w:cs="Calibri"/>
                <w:noProof/>
                <w:webHidden/>
              </w:rPr>
              <w:tab/>
            </w:r>
            <w:r w:rsidR="00C14F35" w:rsidRPr="00C14F35">
              <w:rPr>
                <w:rFonts w:ascii="Calibri" w:hAnsi="Calibri" w:cs="Calibri"/>
                <w:noProof/>
                <w:webHidden/>
              </w:rPr>
              <w:fldChar w:fldCharType="begin"/>
            </w:r>
            <w:r w:rsidR="00C14F35" w:rsidRPr="00C14F35">
              <w:rPr>
                <w:rFonts w:ascii="Calibri" w:hAnsi="Calibri" w:cs="Calibri"/>
                <w:noProof/>
                <w:webHidden/>
              </w:rPr>
              <w:instrText xml:space="preserve"> PAGEREF _Toc139536098 \h </w:instrText>
            </w:r>
            <w:r w:rsidR="00C14F35" w:rsidRPr="00C14F35">
              <w:rPr>
                <w:rFonts w:ascii="Calibri" w:hAnsi="Calibri" w:cs="Calibri"/>
                <w:noProof/>
                <w:webHidden/>
              </w:rPr>
            </w:r>
            <w:r w:rsidR="00C14F35" w:rsidRPr="00C14F35">
              <w:rPr>
                <w:rFonts w:ascii="Calibri" w:hAnsi="Calibri" w:cs="Calibri"/>
                <w:noProof/>
                <w:webHidden/>
              </w:rPr>
              <w:fldChar w:fldCharType="separate"/>
            </w:r>
            <w:r w:rsidR="006C3D65">
              <w:rPr>
                <w:rFonts w:ascii="Calibri" w:hAnsi="Calibri" w:cs="Calibri"/>
                <w:noProof/>
                <w:webHidden/>
              </w:rPr>
              <w:t>6</w:t>
            </w:r>
            <w:r w:rsidR="00C14F35" w:rsidRPr="00C14F35">
              <w:rPr>
                <w:rFonts w:ascii="Calibri" w:hAnsi="Calibri" w:cs="Calibri"/>
                <w:noProof/>
                <w:webHidden/>
              </w:rPr>
              <w:fldChar w:fldCharType="end"/>
            </w:r>
          </w:hyperlink>
        </w:p>
        <w:p w14:paraId="3083F4D0" w14:textId="3787BF6D" w:rsidR="00C14F35" w:rsidRPr="00C14F35" w:rsidRDefault="00000000">
          <w:pPr>
            <w:pStyle w:val="SK3"/>
            <w:rPr>
              <w:rFonts w:ascii="Calibri" w:eastAsiaTheme="minorEastAsia" w:hAnsi="Calibri" w:cs="Calibri"/>
              <w:noProof/>
              <w:lang w:eastAsia="et-EE"/>
            </w:rPr>
          </w:pPr>
          <w:hyperlink w:anchor="_Toc139536099" w:history="1">
            <w:r w:rsidR="00C14F35" w:rsidRPr="00C14F35">
              <w:rPr>
                <w:rStyle w:val="Hperlink"/>
                <w:rFonts w:ascii="Calibri" w:hAnsi="Calibri" w:cs="Calibri"/>
                <w:noProof/>
              </w:rPr>
              <w:t>3.5.</w:t>
            </w:r>
            <w:r w:rsidR="00C14F35" w:rsidRPr="00C14F35">
              <w:rPr>
                <w:rFonts w:ascii="Calibri" w:eastAsiaTheme="minorEastAsia" w:hAnsi="Calibri" w:cs="Calibri"/>
                <w:noProof/>
                <w:lang w:eastAsia="et-EE"/>
              </w:rPr>
              <w:tab/>
            </w:r>
            <w:r w:rsidR="00C14F35" w:rsidRPr="00C14F35">
              <w:rPr>
                <w:rStyle w:val="Hperlink"/>
                <w:rFonts w:ascii="Calibri" w:hAnsi="Calibri" w:cs="Calibri"/>
                <w:noProof/>
              </w:rPr>
              <w:t>Päriselu andmete kogumise toetamine (Art 29.1(d))</w:t>
            </w:r>
            <w:r w:rsidR="00C14F35" w:rsidRPr="00C14F35">
              <w:rPr>
                <w:rFonts w:ascii="Calibri" w:hAnsi="Calibri" w:cs="Calibri"/>
                <w:noProof/>
                <w:webHidden/>
              </w:rPr>
              <w:tab/>
            </w:r>
            <w:r w:rsidR="00C14F35" w:rsidRPr="00C14F35">
              <w:rPr>
                <w:rFonts w:ascii="Calibri" w:hAnsi="Calibri" w:cs="Calibri"/>
                <w:noProof/>
                <w:webHidden/>
              </w:rPr>
              <w:fldChar w:fldCharType="begin"/>
            </w:r>
            <w:r w:rsidR="00C14F35" w:rsidRPr="00C14F35">
              <w:rPr>
                <w:rFonts w:ascii="Calibri" w:hAnsi="Calibri" w:cs="Calibri"/>
                <w:noProof/>
                <w:webHidden/>
              </w:rPr>
              <w:instrText xml:space="preserve"> PAGEREF _Toc139536099 \h </w:instrText>
            </w:r>
            <w:r w:rsidR="00C14F35" w:rsidRPr="00C14F35">
              <w:rPr>
                <w:rFonts w:ascii="Calibri" w:hAnsi="Calibri" w:cs="Calibri"/>
                <w:noProof/>
                <w:webHidden/>
              </w:rPr>
            </w:r>
            <w:r w:rsidR="00C14F35" w:rsidRPr="00C14F35">
              <w:rPr>
                <w:rFonts w:ascii="Calibri" w:hAnsi="Calibri" w:cs="Calibri"/>
                <w:noProof/>
                <w:webHidden/>
              </w:rPr>
              <w:fldChar w:fldCharType="separate"/>
            </w:r>
            <w:r w:rsidR="006C3D65">
              <w:rPr>
                <w:rFonts w:ascii="Calibri" w:hAnsi="Calibri" w:cs="Calibri"/>
                <w:noProof/>
                <w:webHidden/>
              </w:rPr>
              <w:t>7</w:t>
            </w:r>
            <w:r w:rsidR="00C14F35" w:rsidRPr="00C14F35">
              <w:rPr>
                <w:rFonts w:ascii="Calibri" w:hAnsi="Calibri" w:cs="Calibri"/>
                <w:noProof/>
                <w:webHidden/>
              </w:rPr>
              <w:fldChar w:fldCharType="end"/>
            </w:r>
          </w:hyperlink>
        </w:p>
        <w:p w14:paraId="51538F40" w14:textId="18C5ECD7" w:rsidR="00C14F35" w:rsidRPr="00C14F35" w:rsidRDefault="00000000">
          <w:pPr>
            <w:pStyle w:val="SK2"/>
            <w:rPr>
              <w:rFonts w:ascii="Calibri" w:eastAsiaTheme="minorEastAsia" w:hAnsi="Calibri" w:cs="Calibri"/>
              <w:b w:val="0"/>
              <w:bCs w:val="0"/>
              <w:lang w:eastAsia="et-EE"/>
            </w:rPr>
          </w:pPr>
          <w:hyperlink w:anchor="_Toc139536100" w:history="1">
            <w:r w:rsidR="00C14F35" w:rsidRPr="00C14F35">
              <w:rPr>
                <w:rStyle w:val="Hperlink"/>
                <w:rFonts w:ascii="Calibri" w:hAnsi="Calibri" w:cs="Calibri"/>
              </w:rPr>
              <w:t>4.</w:t>
            </w:r>
            <w:r w:rsidR="00C14F35" w:rsidRPr="00C14F35">
              <w:rPr>
                <w:rFonts w:ascii="Calibri" w:eastAsiaTheme="minorEastAsia" w:hAnsi="Calibri" w:cs="Calibri"/>
                <w:b w:val="0"/>
                <w:bCs w:val="0"/>
                <w:lang w:eastAsia="et-EE"/>
              </w:rPr>
              <w:tab/>
            </w:r>
            <w:r w:rsidR="00C14F35" w:rsidRPr="00C14F35">
              <w:rPr>
                <w:rStyle w:val="Hperlink"/>
                <w:rFonts w:ascii="Calibri" w:hAnsi="Calibri" w:cs="Calibri"/>
              </w:rPr>
              <w:t>Keskkonnahoid ja AMR</w:t>
            </w:r>
            <w:r w:rsidR="00C14F35" w:rsidRPr="00C14F35">
              <w:rPr>
                <w:rFonts w:ascii="Calibri" w:hAnsi="Calibri" w:cs="Calibri"/>
                <w:webHidden/>
              </w:rPr>
              <w:tab/>
            </w:r>
            <w:r w:rsidR="00C14F35" w:rsidRPr="00C14F35">
              <w:rPr>
                <w:rFonts w:ascii="Calibri" w:hAnsi="Calibri" w:cs="Calibri"/>
                <w:webHidden/>
              </w:rPr>
              <w:fldChar w:fldCharType="begin"/>
            </w:r>
            <w:r w:rsidR="00C14F35" w:rsidRPr="00C14F35">
              <w:rPr>
                <w:rFonts w:ascii="Calibri" w:hAnsi="Calibri" w:cs="Calibri"/>
                <w:webHidden/>
              </w:rPr>
              <w:instrText xml:space="preserve"> PAGEREF _Toc139536100 \h </w:instrText>
            </w:r>
            <w:r w:rsidR="00C14F35" w:rsidRPr="00C14F35">
              <w:rPr>
                <w:rFonts w:ascii="Calibri" w:hAnsi="Calibri" w:cs="Calibri"/>
                <w:webHidden/>
              </w:rPr>
            </w:r>
            <w:r w:rsidR="00C14F35" w:rsidRPr="00C14F35">
              <w:rPr>
                <w:rFonts w:ascii="Calibri" w:hAnsi="Calibri" w:cs="Calibri"/>
                <w:webHidden/>
              </w:rPr>
              <w:fldChar w:fldCharType="separate"/>
            </w:r>
            <w:r w:rsidR="006C3D65">
              <w:rPr>
                <w:rFonts w:ascii="Calibri" w:hAnsi="Calibri" w:cs="Calibri"/>
                <w:webHidden/>
              </w:rPr>
              <w:t>7</w:t>
            </w:r>
            <w:r w:rsidR="00C14F35" w:rsidRPr="00C14F35">
              <w:rPr>
                <w:rFonts w:ascii="Calibri" w:hAnsi="Calibri" w:cs="Calibri"/>
                <w:webHidden/>
              </w:rPr>
              <w:fldChar w:fldCharType="end"/>
            </w:r>
          </w:hyperlink>
        </w:p>
        <w:p w14:paraId="0DAB733A" w14:textId="4F7F6831" w:rsidR="00C14F35" w:rsidRPr="00C14F35" w:rsidRDefault="00000000">
          <w:pPr>
            <w:pStyle w:val="SK3"/>
            <w:rPr>
              <w:rFonts w:ascii="Calibri" w:eastAsiaTheme="minorEastAsia" w:hAnsi="Calibri" w:cs="Calibri"/>
              <w:noProof/>
              <w:lang w:eastAsia="et-EE"/>
            </w:rPr>
          </w:pPr>
          <w:hyperlink w:anchor="_Toc139536102" w:history="1">
            <w:r w:rsidR="00C14F35" w:rsidRPr="00C14F35">
              <w:rPr>
                <w:rStyle w:val="Hperlink"/>
                <w:rFonts w:ascii="Calibri" w:hAnsi="Calibri" w:cs="Calibri"/>
                <w:noProof/>
              </w:rPr>
              <w:t>4.1.</w:t>
            </w:r>
            <w:r w:rsidR="00C14F35" w:rsidRPr="00C14F35">
              <w:rPr>
                <w:rFonts w:ascii="Calibri" w:eastAsiaTheme="minorEastAsia" w:hAnsi="Calibri" w:cs="Calibri"/>
                <w:noProof/>
                <w:lang w:eastAsia="et-EE"/>
              </w:rPr>
              <w:tab/>
            </w:r>
            <w:r w:rsidR="00C14F35" w:rsidRPr="00C14F35">
              <w:rPr>
                <w:rStyle w:val="Hperlink"/>
                <w:rFonts w:ascii="Calibri" w:hAnsi="Calibri" w:cs="Calibri"/>
                <w:noProof/>
              </w:rPr>
              <w:t>Prioriteetsete antimikroobikumide vautšer (määruse ptk III artiklid 40-43)</w:t>
            </w:r>
            <w:r w:rsidR="00C14F35" w:rsidRPr="00C14F35">
              <w:rPr>
                <w:rFonts w:ascii="Calibri" w:hAnsi="Calibri" w:cs="Calibri"/>
                <w:noProof/>
                <w:webHidden/>
              </w:rPr>
              <w:tab/>
            </w:r>
            <w:r w:rsidR="00C14F35" w:rsidRPr="00C14F35">
              <w:rPr>
                <w:rFonts w:ascii="Calibri" w:hAnsi="Calibri" w:cs="Calibri"/>
                <w:noProof/>
                <w:webHidden/>
              </w:rPr>
              <w:fldChar w:fldCharType="begin"/>
            </w:r>
            <w:r w:rsidR="00C14F35" w:rsidRPr="00C14F35">
              <w:rPr>
                <w:rFonts w:ascii="Calibri" w:hAnsi="Calibri" w:cs="Calibri"/>
                <w:noProof/>
                <w:webHidden/>
              </w:rPr>
              <w:instrText xml:space="preserve"> PAGEREF _Toc139536102 \h </w:instrText>
            </w:r>
            <w:r w:rsidR="00C14F35" w:rsidRPr="00C14F35">
              <w:rPr>
                <w:rFonts w:ascii="Calibri" w:hAnsi="Calibri" w:cs="Calibri"/>
                <w:noProof/>
                <w:webHidden/>
              </w:rPr>
            </w:r>
            <w:r w:rsidR="00C14F35" w:rsidRPr="00C14F35">
              <w:rPr>
                <w:rFonts w:ascii="Calibri" w:hAnsi="Calibri" w:cs="Calibri"/>
                <w:noProof/>
                <w:webHidden/>
              </w:rPr>
              <w:fldChar w:fldCharType="separate"/>
            </w:r>
            <w:r w:rsidR="006C3D65">
              <w:rPr>
                <w:rFonts w:ascii="Calibri" w:hAnsi="Calibri" w:cs="Calibri"/>
                <w:noProof/>
                <w:webHidden/>
              </w:rPr>
              <w:t>7</w:t>
            </w:r>
            <w:r w:rsidR="00C14F35" w:rsidRPr="00C14F35">
              <w:rPr>
                <w:rFonts w:ascii="Calibri" w:hAnsi="Calibri" w:cs="Calibri"/>
                <w:noProof/>
                <w:webHidden/>
              </w:rPr>
              <w:fldChar w:fldCharType="end"/>
            </w:r>
          </w:hyperlink>
        </w:p>
        <w:p w14:paraId="05703DE8" w14:textId="050D492F" w:rsidR="00C14F35" w:rsidRPr="00C14F35" w:rsidRDefault="00000000">
          <w:pPr>
            <w:pStyle w:val="SK3"/>
            <w:rPr>
              <w:rFonts w:ascii="Calibri" w:eastAsiaTheme="minorEastAsia" w:hAnsi="Calibri" w:cs="Calibri"/>
              <w:noProof/>
              <w:lang w:eastAsia="et-EE"/>
            </w:rPr>
          </w:pPr>
          <w:hyperlink w:anchor="_Toc139536103" w:history="1">
            <w:r w:rsidR="00C14F35" w:rsidRPr="00C14F35">
              <w:rPr>
                <w:rStyle w:val="Hperlink"/>
                <w:rFonts w:ascii="Calibri" w:hAnsi="Calibri" w:cs="Calibri"/>
                <w:noProof/>
              </w:rPr>
              <w:t>4.2.</w:t>
            </w:r>
            <w:r w:rsidR="00C14F35" w:rsidRPr="00C14F35">
              <w:rPr>
                <w:rFonts w:ascii="Calibri" w:eastAsiaTheme="minorEastAsia" w:hAnsi="Calibri" w:cs="Calibri"/>
                <w:noProof/>
                <w:lang w:eastAsia="et-EE"/>
              </w:rPr>
              <w:tab/>
            </w:r>
            <w:r w:rsidR="00C14F35" w:rsidRPr="00C14F35">
              <w:rPr>
                <w:rStyle w:val="Hperlink"/>
                <w:rFonts w:ascii="Calibri" w:hAnsi="Calibri" w:cs="Calibri"/>
                <w:noProof/>
              </w:rPr>
              <w:t>AMR ennetusmeetmed (retseptinõue, pakendikogused, teabekaart jms – direktiivi art 51, 52, 69)</w:t>
            </w:r>
            <w:r w:rsidR="00C14F35" w:rsidRPr="00C14F35">
              <w:rPr>
                <w:rFonts w:ascii="Calibri" w:hAnsi="Calibri" w:cs="Calibri"/>
                <w:noProof/>
                <w:webHidden/>
              </w:rPr>
              <w:tab/>
            </w:r>
            <w:r w:rsidR="00C14F35" w:rsidRPr="00C14F35">
              <w:rPr>
                <w:rFonts w:ascii="Calibri" w:hAnsi="Calibri" w:cs="Calibri"/>
                <w:noProof/>
                <w:webHidden/>
              </w:rPr>
              <w:fldChar w:fldCharType="begin"/>
            </w:r>
            <w:r w:rsidR="00C14F35" w:rsidRPr="00C14F35">
              <w:rPr>
                <w:rFonts w:ascii="Calibri" w:hAnsi="Calibri" w:cs="Calibri"/>
                <w:noProof/>
                <w:webHidden/>
              </w:rPr>
              <w:instrText xml:space="preserve"> PAGEREF _Toc139536103 \h </w:instrText>
            </w:r>
            <w:r w:rsidR="00C14F35" w:rsidRPr="00C14F35">
              <w:rPr>
                <w:rFonts w:ascii="Calibri" w:hAnsi="Calibri" w:cs="Calibri"/>
                <w:noProof/>
                <w:webHidden/>
              </w:rPr>
            </w:r>
            <w:r w:rsidR="00C14F35" w:rsidRPr="00C14F35">
              <w:rPr>
                <w:rFonts w:ascii="Calibri" w:hAnsi="Calibri" w:cs="Calibri"/>
                <w:noProof/>
                <w:webHidden/>
              </w:rPr>
              <w:fldChar w:fldCharType="separate"/>
            </w:r>
            <w:r w:rsidR="006C3D65">
              <w:rPr>
                <w:rFonts w:ascii="Calibri" w:hAnsi="Calibri" w:cs="Calibri"/>
                <w:noProof/>
                <w:webHidden/>
              </w:rPr>
              <w:t>7</w:t>
            </w:r>
            <w:r w:rsidR="00C14F35" w:rsidRPr="00C14F35">
              <w:rPr>
                <w:rFonts w:ascii="Calibri" w:hAnsi="Calibri" w:cs="Calibri"/>
                <w:noProof/>
                <w:webHidden/>
              </w:rPr>
              <w:fldChar w:fldCharType="end"/>
            </w:r>
          </w:hyperlink>
        </w:p>
        <w:p w14:paraId="3E03ABD9" w14:textId="1BBB9692" w:rsidR="00C14F35" w:rsidRPr="00C14F35" w:rsidRDefault="00000000">
          <w:pPr>
            <w:pStyle w:val="SK3"/>
            <w:rPr>
              <w:rFonts w:ascii="Calibri" w:eastAsiaTheme="minorEastAsia" w:hAnsi="Calibri" w:cs="Calibri"/>
              <w:noProof/>
              <w:lang w:eastAsia="et-EE"/>
            </w:rPr>
          </w:pPr>
          <w:hyperlink w:anchor="_Toc139536104" w:history="1">
            <w:r w:rsidR="00C14F35" w:rsidRPr="00C14F35">
              <w:rPr>
                <w:rStyle w:val="Hperlink"/>
                <w:rFonts w:ascii="Calibri" w:hAnsi="Calibri" w:cs="Calibri"/>
                <w:noProof/>
              </w:rPr>
              <w:t>4.3.</w:t>
            </w:r>
            <w:r w:rsidR="00C14F35" w:rsidRPr="00C14F35">
              <w:rPr>
                <w:rFonts w:ascii="Calibri" w:eastAsiaTheme="minorEastAsia" w:hAnsi="Calibri" w:cs="Calibri"/>
                <w:noProof/>
                <w:lang w:eastAsia="et-EE"/>
              </w:rPr>
              <w:tab/>
            </w:r>
            <w:r w:rsidR="00C14F35" w:rsidRPr="00C14F35">
              <w:rPr>
                <w:rStyle w:val="Hperlink"/>
                <w:rFonts w:ascii="Calibri" w:hAnsi="Calibri" w:cs="Calibri"/>
                <w:noProof/>
              </w:rPr>
              <w:t>Keskkonnariskihindamise tugevdamine (nt direktiivi artikkel 22, 44, 47, määruses art 15, 16, 20, 104)</w:t>
            </w:r>
            <w:r w:rsidR="00C14F35" w:rsidRPr="00C14F35">
              <w:rPr>
                <w:rFonts w:ascii="Calibri" w:hAnsi="Calibri" w:cs="Calibri"/>
                <w:noProof/>
                <w:webHidden/>
              </w:rPr>
              <w:tab/>
            </w:r>
            <w:r w:rsidR="00C14F35" w:rsidRPr="00C14F35">
              <w:rPr>
                <w:rFonts w:ascii="Calibri" w:hAnsi="Calibri" w:cs="Calibri"/>
                <w:noProof/>
                <w:webHidden/>
              </w:rPr>
              <w:fldChar w:fldCharType="begin"/>
            </w:r>
            <w:r w:rsidR="00C14F35" w:rsidRPr="00C14F35">
              <w:rPr>
                <w:rFonts w:ascii="Calibri" w:hAnsi="Calibri" w:cs="Calibri"/>
                <w:noProof/>
                <w:webHidden/>
              </w:rPr>
              <w:instrText xml:space="preserve"> PAGEREF _Toc139536104 \h </w:instrText>
            </w:r>
            <w:r w:rsidR="00C14F35" w:rsidRPr="00C14F35">
              <w:rPr>
                <w:rFonts w:ascii="Calibri" w:hAnsi="Calibri" w:cs="Calibri"/>
                <w:noProof/>
                <w:webHidden/>
              </w:rPr>
            </w:r>
            <w:r w:rsidR="00C14F35" w:rsidRPr="00C14F35">
              <w:rPr>
                <w:rFonts w:ascii="Calibri" w:hAnsi="Calibri" w:cs="Calibri"/>
                <w:noProof/>
                <w:webHidden/>
              </w:rPr>
              <w:fldChar w:fldCharType="separate"/>
            </w:r>
            <w:r w:rsidR="006C3D65">
              <w:rPr>
                <w:rFonts w:ascii="Calibri" w:hAnsi="Calibri" w:cs="Calibri"/>
                <w:noProof/>
                <w:webHidden/>
              </w:rPr>
              <w:t>7</w:t>
            </w:r>
            <w:r w:rsidR="00C14F35" w:rsidRPr="00C14F35">
              <w:rPr>
                <w:rFonts w:ascii="Calibri" w:hAnsi="Calibri" w:cs="Calibri"/>
                <w:noProof/>
                <w:webHidden/>
              </w:rPr>
              <w:fldChar w:fldCharType="end"/>
            </w:r>
          </w:hyperlink>
        </w:p>
        <w:p w14:paraId="2DE47102" w14:textId="49A6017C" w:rsidR="00C14F35" w:rsidRPr="00C14F35" w:rsidRDefault="00000000">
          <w:pPr>
            <w:pStyle w:val="SK2"/>
            <w:rPr>
              <w:rFonts w:ascii="Calibri" w:eastAsiaTheme="minorEastAsia" w:hAnsi="Calibri" w:cs="Calibri"/>
              <w:b w:val="0"/>
              <w:bCs w:val="0"/>
              <w:lang w:eastAsia="et-EE"/>
            </w:rPr>
          </w:pPr>
          <w:hyperlink w:anchor="_Toc139536105" w:history="1">
            <w:r w:rsidR="00C14F35" w:rsidRPr="00C14F35">
              <w:rPr>
                <w:rStyle w:val="Hperlink"/>
                <w:rFonts w:ascii="Calibri" w:hAnsi="Calibri" w:cs="Calibri"/>
              </w:rPr>
              <w:t>5.</w:t>
            </w:r>
            <w:r w:rsidR="00C14F35" w:rsidRPr="00C14F35">
              <w:rPr>
                <w:rFonts w:ascii="Calibri" w:eastAsiaTheme="minorEastAsia" w:hAnsi="Calibri" w:cs="Calibri"/>
                <w:b w:val="0"/>
                <w:bCs w:val="0"/>
                <w:lang w:eastAsia="et-EE"/>
              </w:rPr>
              <w:tab/>
            </w:r>
            <w:r w:rsidR="00C14F35" w:rsidRPr="00C14F35">
              <w:rPr>
                <w:rStyle w:val="Hperlink"/>
                <w:rFonts w:ascii="Calibri" w:hAnsi="Calibri" w:cs="Calibri"/>
              </w:rPr>
              <w:t>Küsimused ja kommentaarid</w:t>
            </w:r>
            <w:r w:rsidR="00C14F35" w:rsidRPr="00C14F35">
              <w:rPr>
                <w:rFonts w:ascii="Calibri" w:hAnsi="Calibri" w:cs="Calibri"/>
                <w:webHidden/>
              </w:rPr>
              <w:tab/>
            </w:r>
            <w:r w:rsidR="00C14F35" w:rsidRPr="00C14F35">
              <w:rPr>
                <w:rFonts w:ascii="Calibri" w:hAnsi="Calibri" w:cs="Calibri"/>
                <w:webHidden/>
              </w:rPr>
              <w:fldChar w:fldCharType="begin"/>
            </w:r>
            <w:r w:rsidR="00C14F35" w:rsidRPr="00C14F35">
              <w:rPr>
                <w:rFonts w:ascii="Calibri" w:hAnsi="Calibri" w:cs="Calibri"/>
                <w:webHidden/>
              </w:rPr>
              <w:instrText xml:space="preserve"> PAGEREF _Toc139536105 \h </w:instrText>
            </w:r>
            <w:r w:rsidR="00C14F35" w:rsidRPr="00C14F35">
              <w:rPr>
                <w:rFonts w:ascii="Calibri" w:hAnsi="Calibri" w:cs="Calibri"/>
                <w:webHidden/>
              </w:rPr>
            </w:r>
            <w:r w:rsidR="00C14F35" w:rsidRPr="00C14F35">
              <w:rPr>
                <w:rFonts w:ascii="Calibri" w:hAnsi="Calibri" w:cs="Calibri"/>
                <w:webHidden/>
              </w:rPr>
              <w:fldChar w:fldCharType="separate"/>
            </w:r>
            <w:r w:rsidR="006C3D65">
              <w:rPr>
                <w:rFonts w:ascii="Calibri" w:hAnsi="Calibri" w:cs="Calibri"/>
                <w:webHidden/>
              </w:rPr>
              <w:t>8</w:t>
            </w:r>
            <w:r w:rsidR="00C14F35" w:rsidRPr="00C14F35">
              <w:rPr>
                <w:rFonts w:ascii="Calibri" w:hAnsi="Calibri" w:cs="Calibri"/>
                <w:webHidden/>
              </w:rPr>
              <w:fldChar w:fldCharType="end"/>
            </w:r>
          </w:hyperlink>
        </w:p>
        <w:p w14:paraId="54180A9E" w14:textId="2FD03703" w:rsidR="00E57AC1" w:rsidRPr="00C14F35" w:rsidRDefault="00FC6CCC" w:rsidP="00DB6095">
          <w:pPr>
            <w:contextualSpacing/>
            <w:jc w:val="both"/>
            <w:rPr>
              <w:b/>
              <w:bCs/>
            </w:rPr>
          </w:pPr>
          <w:r w:rsidRPr="00C14F35">
            <w:rPr>
              <w:b/>
              <w:bCs/>
            </w:rPr>
            <w:lastRenderedPageBreak/>
            <w:fldChar w:fldCharType="end"/>
          </w:r>
        </w:p>
      </w:sdtContent>
    </w:sdt>
    <w:p w14:paraId="50E6A65D" w14:textId="77777777" w:rsidR="00FC6CCC" w:rsidRPr="00C14F35" w:rsidRDefault="00FC6CCC" w:rsidP="00E57AC1">
      <w:pPr>
        <w:pStyle w:val="Pealkiri2"/>
        <w:contextualSpacing/>
        <w:rPr>
          <w:rFonts w:ascii="Calibri" w:hAnsi="Calibri" w:cs="Calibri"/>
        </w:rPr>
      </w:pPr>
      <w:bookmarkStart w:id="0" w:name="_Toc139536080"/>
      <w:r w:rsidRPr="00C14F35">
        <w:rPr>
          <w:rFonts w:ascii="Calibri" w:hAnsi="Calibri" w:cs="Calibri"/>
        </w:rPr>
        <w:t>Võrdne juurdepääs ja taskukohasus</w:t>
      </w:r>
      <w:bookmarkEnd w:id="0"/>
    </w:p>
    <w:p w14:paraId="3B892C9B" w14:textId="3E00A35E" w:rsidR="00FC6CCC" w:rsidRPr="00C14F35" w:rsidRDefault="007E7287" w:rsidP="00DB6095">
      <w:pPr>
        <w:pStyle w:val="Pealkiri3"/>
      </w:pPr>
      <w:bookmarkStart w:id="1" w:name="_Toc139536081"/>
      <w:r w:rsidRPr="00C14F35">
        <w:t>Andmete- ja müügikaitse (</w:t>
      </w:r>
      <w:proofErr w:type="spellStart"/>
      <w:r w:rsidRPr="00C14F35">
        <w:t>Regulatory</w:t>
      </w:r>
      <w:proofErr w:type="spellEnd"/>
      <w:r w:rsidRPr="00C14F35">
        <w:t xml:space="preserve"> </w:t>
      </w:r>
      <w:proofErr w:type="spellStart"/>
      <w:r w:rsidRPr="00C14F35">
        <w:t>Data</w:t>
      </w:r>
      <w:proofErr w:type="spellEnd"/>
      <w:r w:rsidRPr="00C14F35">
        <w:t xml:space="preserve"> </w:t>
      </w:r>
      <w:proofErr w:type="spellStart"/>
      <w:r w:rsidRPr="00C14F35">
        <w:t>Protection</w:t>
      </w:r>
      <w:proofErr w:type="spellEnd"/>
      <w:r w:rsidRPr="00C14F35">
        <w:t xml:space="preserve"> - RDP) perioodi lühendamine ja moduleerimine</w:t>
      </w:r>
      <w:bookmarkEnd w:id="1"/>
    </w:p>
    <w:p w14:paraId="18810297" w14:textId="273FF7C7" w:rsidR="00FC6CCC" w:rsidRPr="00C14F35" w:rsidRDefault="00572A79" w:rsidP="00E57AC1">
      <w:pPr>
        <w:contextualSpacing/>
        <w:jc w:val="both"/>
        <w:rPr>
          <w:color w:val="000000" w:themeColor="text1"/>
        </w:rPr>
      </w:pPr>
      <w:r w:rsidRPr="00C14F35">
        <w:rPr>
          <w:color w:val="000000" w:themeColor="text1"/>
        </w:rPr>
        <w:t>Ravimitootjate Liit (</w:t>
      </w:r>
      <w:r w:rsidR="00FC6CCC" w:rsidRPr="00C14F35">
        <w:rPr>
          <w:color w:val="000000" w:themeColor="text1"/>
        </w:rPr>
        <w:t>RTL</w:t>
      </w:r>
      <w:r w:rsidRPr="00C14F35">
        <w:rPr>
          <w:color w:val="000000" w:themeColor="text1"/>
        </w:rPr>
        <w:t>)</w:t>
      </w:r>
      <w:r w:rsidR="00FC6CCC" w:rsidRPr="00C14F35">
        <w:rPr>
          <w:color w:val="000000" w:themeColor="text1"/>
        </w:rPr>
        <w:t xml:space="preserve"> </w:t>
      </w:r>
      <w:r w:rsidR="008F0C6D" w:rsidRPr="00C14F35">
        <w:rPr>
          <w:color w:val="000000" w:themeColor="text1"/>
        </w:rPr>
        <w:t>ei toeta komisjoni ettepan</w:t>
      </w:r>
      <w:r w:rsidR="00131230" w:rsidRPr="00C14F35">
        <w:rPr>
          <w:color w:val="000000" w:themeColor="text1"/>
        </w:rPr>
        <w:t>e</w:t>
      </w:r>
      <w:r w:rsidR="008F0C6D" w:rsidRPr="00C14F35">
        <w:rPr>
          <w:color w:val="000000" w:themeColor="text1"/>
        </w:rPr>
        <w:t>kut</w:t>
      </w:r>
      <w:r w:rsidR="00FC6CCC" w:rsidRPr="00C14F35">
        <w:rPr>
          <w:color w:val="000000" w:themeColor="text1"/>
        </w:rPr>
        <w:t xml:space="preserve">, mille kohaselt andmete- ja müügikaitse perioodi sisuliselt lühendatakse võrreldes käesoleva korraga kahe aasta võrra olukorras, kus müügiloa saanud ravimit ei tooda </w:t>
      </w:r>
      <w:r w:rsidR="00131230" w:rsidRPr="00C14F35">
        <w:rPr>
          <w:color w:val="000000" w:themeColor="text1"/>
        </w:rPr>
        <w:t xml:space="preserve">kõigis EL liikmesriikides </w:t>
      </w:r>
      <w:r w:rsidR="009F2E1A" w:rsidRPr="00C14F35">
        <w:rPr>
          <w:color w:val="000000" w:themeColor="text1"/>
        </w:rPr>
        <w:t xml:space="preserve">alates müügiloa saamisest </w:t>
      </w:r>
      <w:r w:rsidR="00FC6CCC" w:rsidRPr="00C14F35">
        <w:rPr>
          <w:color w:val="000000" w:themeColor="text1"/>
        </w:rPr>
        <w:t xml:space="preserve">kahe aasta jooksul </w:t>
      </w:r>
      <w:r w:rsidR="00131230" w:rsidRPr="00C14F35">
        <w:rPr>
          <w:color w:val="000000" w:themeColor="text1"/>
        </w:rPr>
        <w:t>turule</w:t>
      </w:r>
      <w:r w:rsidR="00FC6CCC" w:rsidRPr="00C14F35">
        <w:rPr>
          <w:color w:val="000000" w:themeColor="text1"/>
        </w:rPr>
        <w:t>. Samuti tekitavad ebakindlust ja ette</w:t>
      </w:r>
      <w:r w:rsidR="008F0C6D" w:rsidRPr="00C14F35">
        <w:rPr>
          <w:color w:val="000000" w:themeColor="text1"/>
        </w:rPr>
        <w:t>arvamatust</w:t>
      </w:r>
      <w:r w:rsidR="00FC6CCC" w:rsidRPr="00C14F35">
        <w:rPr>
          <w:color w:val="000000" w:themeColor="text1"/>
        </w:rPr>
        <w:t xml:space="preserve"> andme- ja müügikaitse perioodi nn tükeldamine ja modulee</w:t>
      </w:r>
      <w:r w:rsidR="004430CC" w:rsidRPr="00C14F35">
        <w:rPr>
          <w:color w:val="000000" w:themeColor="text1"/>
        </w:rPr>
        <w:t>ri</w:t>
      </w:r>
      <w:r w:rsidR="00FC6CCC" w:rsidRPr="00C14F35">
        <w:rPr>
          <w:color w:val="000000" w:themeColor="text1"/>
        </w:rPr>
        <w:t xml:space="preserve">mine ka ülejäänud uute kriteeriumite lõikes (nt </w:t>
      </w:r>
      <w:proofErr w:type="spellStart"/>
      <w:r w:rsidRPr="00C14F35">
        <w:rPr>
          <w:i/>
          <w:iCs/>
          <w:color w:val="000000" w:themeColor="text1"/>
        </w:rPr>
        <w:t>u</w:t>
      </w:r>
      <w:r w:rsidR="00FC6CCC" w:rsidRPr="00C14F35">
        <w:rPr>
          <w:i/>
          <w:iCs/>
          <w:color w:val="000000" w:themeColor="text1"/>
        </w:rPr>
        <w:t>nmet</w:t>
      </w:r>
      <w:proofErr w:type="spellEnd"/>
      <w:r w:rsidR="00FC6CCC" w:rsidRPr="00C14F35">
        <w:rPr>
          <w:i/>
          <w:iCs/>
          <w:color w:val="000000" w:themeColor="text1"/>
        </w:rPr>
        <w:t xml:space="preserve"> </w:t>
      </w:r>
      <w:proofErr w:type="spellStart"/>
      <w:r w:rsidRPr="00C14F35">
        <w:rPr>
          <w:i/>
          <w:iCs/>
          <w:color w:val="000000" w:themeColor="text1"/>
        </w:rPr>
        <w:t>m</w:t>
      </w:r>
      <w:r w:rsidR="00FC6CCC" w:rsidRPr="00C14F35">
        <w:rPr>
          <w:i/>
          <w:iCs/>
          <w:color w:val="000000" w:themeColor="text1"/>
        </w:rPr>
        <w:t>edical</w:t>
      </w:r>
      <w:proofErr w:type="spellEnd"/>
      <w:r w:rsidR="00FC6CCC" w:rsidRPr="00C14F35">
        <w:rPr>
          <w:i/>
          <w:iCs/>
          <w:color w:val="000000" w:themeColor="text1"/>
        </w:rPr>
        <w:t xml:space="preserve"> </w:t>
      </w:r>
      <w:r w:rsidRPr="00C14F35">
        <w:rPr>
          <w:i/>
          <w:iCs/>
          <w:color w:val="000000" w:themeColor="text1"/>
        </w:rPr>
        <w:t>n</w:t>
      </w:r>
      <w:r w:rsidR="00FC6CCC" w:rsidRPr="00C14F35">
        <w:rPr>
          <w:i/>
          <w:iCs/>
          <w:color w:val="000000" w:themeColor="text1"/>
        </w:rPr>
        <w:t>eed</w:t>
      </w:r>
      <w:r w:rsidR="00FC6CCC" w:rsidRPr="00C14F35">
        <w:rPr>
          <w:color w:val="000000" w:themeColor="text1"/>
        </w:rPr>
        <w:t xml:space="preserve">, võrdlevad kliinilised uuringud jt) - on ebarealistlik, et tootjatel õnnestuks järjepidevalt oma kõigi või enamiku ravimite osas kõiki neid kriteeriume täita, et saavutada eelnõu kohaselt maksimaalset võimalikku kaitseperioodi (12 aastat); enamikul juhtudel oleks tootjatele ilmselt kättesaadav üksnes kaitseperiood kestusega 10 </w:t>
      </w:r>
      <w:r w:rsidR="008F0C6D" w:rsidRPr="00C14F35">
        <w:rPr>
          <w:color w:val="000000" w:themeColor="text1"/>
        </w:rPr>
        <w:t xml:space="preserve">või vähem </w:t>
      </w:r>
      <w:r w:rsidR="00FC6CCC" w:rsidRPr="00C14F35">
        <w:rPr>
          <w:color w:val="000000" w:themeColor="text1"/>
        </w:rPr>
        <w:t>aastat</w:t>
      </w:r>
      <w:r w:rsidR="008F0C6D" w:rsidRPr="00C14F35">
        <w:rPr>
          <w:color w:val="000000" w:themeColor="text1"/>
        </w:rPr>
        <w:t>, mis halvendab intellektuaalomandi kaitset võrreldes praegu kehtivaga.</w:t>
      </w:r>
      <w:r w:rsidR="00FC6CCC" w:rsidRPr="00C14F35">
        <w:rPr>
          <w:color w:val="000000" w:themeColor="text1"/>
        </w:rPr>
        <w:t xml:space="preserve"> </w:t>
      </w:r>
    </w:p>
    <w:p w14:paraId="63721E9F" w14:textId="77777777" w:rsidR="00E57AC1" w:rsidRPr="00C14F35" w:rsidRDefault="00E57AC1" w:rsidP="00E57AC1">
      <w:pPr>
        <w:contextualSpacing/>
        <w:jc w:val="both"/>
        <w:rPr>
          <w:color w:val="000000" w:themeColor="text1"/>
        </w:rPr>
      </w:pPr>
    </w:p>
    <w:p w14:paraId="284D0AE3" w14:textId="20D98A31" w:rsidR="00FC6CCC" w:rsidRPr="00C14F35" w:rsidRDefault="00FC6CCC" w:rsidP="00E57AC1">
      <w:pPr>
        <w:contextualSpacing/>
        <w:jc w:val="both"/>
        <w:rPr>
          <w:color w:val="000000" w:themeColor="text1"/>
        </w:rPr>
      </w:pPr>
      <w:r w:rsidRPr="00C14F35">
        <w:rPr>
          <w:color w:val="000000" w:themeColor="text1"/>
        </w:rPr>
        <w:t>RTL nõustub, et ravimite kättesaadavus Euroopas vajab kiirendamist ja par</w:t>
      </w:r>
      <w:r w:rsidR="008F0C6D" w:rsidRPr="00C14F35">
        <w:rPr>
          <w:color w:val="000000" w:themeColor="text1"/>
        </w:rPr>
        <w:t>a</w:t>
      </w:r>
      <w:r w:rsidRPr="00C14F35">
        <w:rPr>
          <w:color w:val="000000" w:themeColor="text1"/>
        </w:rPr>
        <w:t xml:space="preserve">ndamist eelkõige neis liikmesriikides, kus see hetkel on Euroopa Liidu keskmisest madalam. Muudatused andmete- ja müügikaitse perioodis tingivad aga Euroopas ravimiarenduse ja selleks tehtavate investeeringute vähenemise. Samal ajal ei ole kõnealuse muudatuse puhul tegu sobiva vahendiga selle probleemi lahendamiseks, milleks see on mõeldud (s.o ravimite kättesaadavuse ühtlustamine ja parandamine kogu </w:t>
      </w:r>
      <w:proofErr w:type="spellStart"/>
      <w:r w:rsidRPr="00C14F35">
        <w:rPr>
          <w:color w:val="000000" w:themeColor="text1"/>
        </w:rPr>
        <w:t>EL-s</w:t>
      </w:r>
      <w:proofErr w:type="spellEnd"/>
      <w:r w:rsidRPr="00C14F35">
        <w:rPr>
          <w:color w:val="000000" w:themeColor="text1"/>
        </w:rPr>
        <w:t>), sest enamjaolt ei ole ravimite turuletuleku viivitused või turule tulemata jäämine põhjustatud ravimitootja enda poolt või üksnes tema mõjusfääris olevatest asjaoludest.</w:t>
      </w:r>
    </w:p>
    <w:p w14:paraId="06321A99" w14:textId="77777777" w:rsidR="00E57AC1" w:rsidRPr="00C14F35" w:rsidRDefault="00E57AC1" w:rsidP="00E57AC1">
      <w:pPr>
        <w:contextualSpacing/>
        <w:jc w:val="both"/>
        <w:rPr>
          <w:color w:val="000000" w:themeColor="text1"/>
        </w:rPr>
      </w:pPr>
    </w:p>
    <w:p w14:paraId="2EA76A80" w14:textId="4B3306C5" w:rsidR="00FC6CCC" w:rsidRPr="00C14F35" w:rsidRDefault="00FC6CCC" w:rsidP="00E57AC1">
      <w:pPr>
        <w:contextualSpacing/>
        <w:jc w:val="both"/>
        <w:rPr>
          <w:color w:val="000000" w:themeColor="text1"/>
        </w:rPr>
      </w:pPr>
      <w:r w:rsidRPr="00C14F35">
        <w:rPr>
          <w:color w:val="000000" w:themeColor="text1"/>
        </w:rPr>
        <w:t xml:space="preserve">Eelnõus sätestatud ravimi </w:t>
      </w:r>
      <w:r w:rsidR="00381E90" w:rsidRPr="00C14F35">
        <w:rPr>
          <w:color w:val="000000" w:themeColor="text1"/>
        </w:rPr>
        <w:t>„</w:t>
      </w:r>
      <w:r w:rsidRPr="00C14F35">
        <w:rPr>
          <w:color w:val="000000" w:themeColor="text1"/>
        </w:rPr>
        <w:t>turuletoomise</w:t>
      </w:r>
      <w:r w:rsidR="00381E90" w:rsidRPr="00C14F35">
        <w:rPr>
          <w:color w:val="000000" w:themeColor="text1"/>
        </w:rPr>
        <w:t>“</w:t>
      </w:r>
      <w:r w:rsidRPr="00C14F35">
        <w:rPr>
          <w:color w:val="000000" w:themeColor="text1"/>
        </w:rPr>
        <w:t xml:space="preserve"> mõiste (direktiivi eelnõu artikkel 82(1): "...</w:t>
      </w:r>
      <w:proofErr w:type="spellStart"/>
      <w:r w:rsidRPr="00C14F35">
        <w:rPr>
          <w:i/>
          <w:iCs/>
          <w:color w:val="000000" w:themeColor="text1"/>
        </w:rPr>
        <w:t>released</w:t>
      </w:r>
      <w:proofErr w:type="spellEnd"/>
      <w:r w:rsidRPr="00C14F35">
        <w:rPr>
          <w:i/>
          <w:iCs/>
          <w:color w:val="000000" w:themeColor="text1"/>
        </w:rPr>
        <w:t xml:space="preserve"> and </w:t>
      </w:r>
      <w:proofErr w:type="spellStart"/>
      <w:r w:rsidRPr="00C14F35">
        <w:rPr>
          <w:i/>
          <w:iCs/>
          <w:color w:val="000000" w:themeColor="text1"/>
        </w:rPr>
        <w:t>continuously</w:t>
      </w:r>
      <w:proofErr w:type="spellEnd"/>
      <w:r w:rsidRPr="00C14F35">
        <w:rPr>
          <w:i/>
          <w:iCs/>
          <w:color w:val="000000" w:themeColor="text1"/>
        </w:rPr>
        <w:t xml:space="preserve"> </w:t>
      </w:r>
      <w:proofErr w:type="spellStart"/>
      <w:r w:rsidRPr="00C14F35">
        <w:rPr>
          <w:i/>
          <w:iCs/>
          <w:color w:val="000000" w:themeColor="text1"/>
        </w:rPr>
        <w:t>supplied</w:t>
      </w:r>
      <w:proofErr w:type="spellEnd"/>
      <w:r w:rsidRPr="00C14F35">
        <w:rPr>
          <w:i/>
          <w:iCs/>
          <w:color w:val="000000" w:themeColor="text1"/>
        </w:rPr>
        <w:t xml:space="preserve"> </w:t>
      </w:r>
      <w:proofErr w:type="spellStart"/>
      <w:r w:rsidRPr="00C14F35">
        <w:rPr>
          <w:i/>
          <w:iCs/>
          <w:color w:val="000000" w:themeColor="text1"/>
        </w:rPr>
        <w:t>into</w:t>
      </w:r>
      <w:proofErr w:type="spellEnd"/>
      <w:r w:rsidRPr="00C14F35">
        <w:rPr>
          <w:i/>
          <w:iCs/>
          <w:color w:val="000000" w:themeColor="text1"/>
        </w:rPr>
        <w:t xml:space="preserve"> </w:t>
      </w:r>
      <w:proofErr w:type="spellStart"/>
      <w:r w:rsidRPr="00C14F35">
        <w:rPr>
          <w:i/>
          <w:iCs/>
          <w:color w:val="000000" w:themeColor="text1"/>
        </w:rPr>
        <w:t>the</w:t>
      </w:r>
      <w:proofErr w:type="spellEnd"/>
      <w:r w:rsidRPr="00C14F35">
        <w:rPr>
          <w:i/>
          <w:iCs/>
          <w:color w:val="000000" w:themeColor="text1"/>
        </w:rPr>
        <w:t xml:space="preserve"> </w:t>
      </w:r>
      <w:proofErr w:type="spellStart"/>
      <w:r w:rsidRPr="00C14F35">
        <w:rPr>
          <w:i/>
          <w:iCs/>
          <w:color w:val="000000" w:themeColor="text1"/>
        </w:rPr>
        <w:t>supply</w:t>
      </w:r>
      <w:proofErr w:type="spellEnd"/>
      <w:r w:rsidRPr="00C14F35">
        <w:rPr>
          <w:i/>
          <w:iCs/>
          <w:color w:val="000000" w:themeColor="text1"/>
        </w:rPr>
        <w:t xml:space="preserve"> </w:t>
      </w:r>
      <w:proofErr w:type="spellStart"/>
      <w:r w:rsidRPr="00C14F35">
        <w:rPr>
          <w:i/>
          <w:iCs/>
          <w:color w:val="000000" w:themeColor="text1"/>
        </w:rPr>
        <w:t>chain</w:t>
      </w:r>
      <w:proofErr w:type="spellEnd"/>
      <w:r w:rsidRPr="00C14F35">
        <w:rPr>
          <w:i/>
          <w:iCs/>
          <w:color w:val="000000" w:themeColor="text1"/>
        </w:rPr>
        <w:t xml:space="preserve"> in a </w:t>
      </w:r>
      <w:proofErr w:type="spellStart"/>
      <w:r w:rsidRPr="00C14F35">
        <w:rPr>
          <w:i/>
          <w:iCs/>
          <w:color w:val="000000" w:themeColor="text1"/>
        </w:rPr>
        <w:t>sufficient</w:t>
      </w:r>
      <w:proofErr w:type="spellEnd"/>
      <w:r w:rsidRPr="00C14F35">
        <w:rPr>
          <w:i/>
          <w:iCs/>
          <w:color w:val="000000" w:themeColor="text1"/>
        </w:rPr>
        <w:t xml:space="preserve"> </w:t>
      </w:r>
      <w:proofErr w:type="spellStart"/>
      <w:r w:rsidRPr="00C14F35">
        <w:rPr>
          <w:i/>
          <w:iCs/>
          <w:color w:val="000000" w:themeColor="text1"/>
        </w:rPr>
        <w:t>quantity</w:t>
      </w:r>
      <w:proofErr w:type="spellEnd"/>
      <w:r w:rsidRPr="00C14F35">
        <w:rPr>
          <w:i/>
          <w:iCs/>
          <w:color w:val="000000" w:themeColor="text1"/>
        </w:rPr>
        <w:t xml:space="preserve"> and in </w:t>
      </w:r>
      <w:proofErr w:type="spellStart"/>
      <w:r w:rsidRPr="00C14F35">
        <w:rPr>
          <w:i/>
          <w:iCs/>
          <w:color w:val="000000" w:themeColor="text1"/>
        </w:rPr>
        <w:t>the</w:t>
      </w:r>
      <w:proofErr w:type="spellEnd"/>
      <w:r w:rsidRPr="00C14F35">
        <w:rPr>
          <w:i/>
          <w:iCs/>
          <w:color w:val="000000" w:themeColor="text1"/>
        </w:rPr>
        <w:t xml:space="preserve"> </w:t>
      </w:r>
      <w:proofErr w:type="spellStart"/>
      <w:r w:rsidRPr="00C14F35">
        <w:rPr>
          <w:i/>
          <w:iCs/>
          <w:color w:val="000000" w:themeColor="text1"/>
        </w:rPr>
        <w:t>presentations</w:t>
      </w:r>
      <w:proofErr w:type="spellEnd"/>
      <w:r w:rsidRPr="00C14F35">
        <w:rPr>
          <w:i/>
          <w:iCs/>
          <w:color w:val="000000" w:themeColor="text1"/>
        </w:rPr>
        <w:t xml:space="preserve"> </w:t>
      </w:r>
      <w:proofErr w:type="spellStart"/>
      <w:r w:rsidRPr="00C14F35">
        <w:rPr>
          <w:i/>
          <w:iCs/>
          <w:color w:val="000000" w:themeColor="text1"/>
        </w:rPr>
        <w:t>necessary</w:t>
      </w:r>
      <w:proofErr w:type="spellEnd"/>
      <w:r w:rsidRPr="00C14F35">
        <w:rPr>
          <w:color w:val="000000" w:themeColor="text1"/>
        </w:rPr>
        <w:t>") on ebaselge, jättes selgusetuks, milliste täpsemate praktiliste sammude täitmisel peetakse ravimit turuletooduks kõneluse artikli mõistes.</w:t>
      </w:r>
    </w:p>
    <w:p w14:paraId="7415C094" w14:textId="77777777" w:rsidR="00E57AC1" w:rsidRPr="00C14F35" w:rsidRDefault="00E57AC1" w:rsidP="00E57AC1">
      <w:pPr>
        <w:contextualSpacing/>
        <w:jc w:val="both"/>
        <w:rPr>
          <w:color w:val="000000" w:themeColor="text1"/>
        </w:rPr>
      </w:pPr>
    </w:p>
    <w:p w14:paraId="67AD87A4" w14:textId="0189F1B8" w:rsidR="00FC6CCC" w:rsidRPr="00C14F35" w:rsidRDefault="00FC6CCC" w:rsidP="00E57AC1">
      <w:pPr>
        <w:contextualSpacing/>
        <w:jc w:val="both"/>
        <w:rPr>
          <w:color w:val="000000" w:themeColor="text1"/>
        </w:rPr>
      </w:pPr>
      <w:r w:rsidRPr="00C14F35">
        <w:rPr>
          <w:color w:val="000000" w:themeColor="text1"/>
        </w:rPr>
        <w:t xml:space="preserve">Juhul, kui kõnealune </w:t>
      </w:r>
      <w:r w:rsidR="00381E90" w:rsidRPr="00C14F35">
        <w:rPr>
          <w:color w:val="000000" w:themeColor="text1"/>
        </w:rPr>
        <w:t>„</w:t>
      </w:r>
      <w:r w:rsidRPr="00C14F35">
        <w:rPr>
          <w:color w:val="000000" w:themeColor="text1"/>
        </w:rPr>
        <w:t>turuletoomise</w:t>
      </w:r>
      <w:r w:rsidR="00381E90" w:rsidRPr="00C14F35">
        <w:rPr>
          <w:color w:val="000000" w:themeColor="text1"/>
        </w:rPr>
        <w:t>“</w:t>
      </w:r>
      <w:r w:rsidRPr="00C14F35">
        <w:rPr>
          <w:color w:val="000000" w:themeColor="text1"/>
        </w:rPr>
        <w:t xml:space="preserve"> mõiste viitab sellele, et toode on riigis patsientidele täielikul määral kättesaadav, oleks selle eelduseks toote kandmine riiklikult rahastatavate ravimite loetellu (Eestis ravimite või tervishoiuteenuste loetellu). Rahastamisläbirääkimised ja selle tulemused ei ole aga üksnes ravimitootja enda mõjusfääris ning erinevatel põhjustel on tihtilugu tegu pikema ja keerulisema protsessiga, mis ei mahu ajaliselt müügiloa andmisest algava turuletoomise nõude kaheaastase perioodi raamidesse.</w:t>
      </w:r>
    </w:p>
    <w:p w14:paraId="4D9C0AFF" w14:textId="77777777" w:rsidR="00E57AC1" w:rsidRPr="00C14F35" w:rsidRDefault="00E57AC1" w:rsidP="00E57AC1">
      <w:pPr>
        <w:contextualSpacing/>
        <w:jc w:val="both"/>
        <w:rPr>
          <w:color w:val="000000" w:themeColor="text1"/>
        </w:rPr>
      </w:pPr>
    </w:p>
    <w:p w14:paraId="2C1DFB02" w14:textId="695B9BE7" w:rsidR="00E57AC1" w:rsidRPr="00C14F35" w:rsidRDefault="00FC6CCC" w:rsidP="00E57AC1">
      <w:pPr>
        <w:contextualSpacing/>
        <w:jc w:val="both"/>
        <w:rPr>
          <w:color w:val="000000" w:themeColor="text1"/>
        </w:rPr>
      </w:pPr>
      <w:r w:rsidRPr="00C14F35">
        <w:rPr>
          <w:color w:val="000000" w:themeColor="text1"/>
        </w:rPr>
        <w:t xml:space="preserve">Euroopa Ravimitootjate Liidu </w:t>
      </w:r>
      <w:r w:rsidR="00572A79" w:rsidRPr="00C14F35">
        <w:rPr>
          <w:color w:val="000000" w:themeColor="text1"/>
        </w:rPr>
        <w:t xml:space="preserve">(EFPIA) </w:t>
      </w:r>
      <w:r w:rsidRPr="00C14F35">
        <w:rPr>
          <w:color w:val="000000" w:themeColor="text1"/>
        </w:rPr>
        <w:t xml:space="preserve">liikmeteks olevad ravimitootjad on juba andnud nn </w:t>
      </w:r>
      <w:r w:rsidR="00572A79" w:rsidRPr="00C14F35">
        <w:rPr>
          <w:color w:val="000000" w:themeColor="text1"/>
        </w:rPr>
        <w:t>„</w:t>
      </w:r>
      <w:r w:rsidRPr="00C14F35">
        <w:rPr>
          <w:color w:val="000000" w:themeColor="text1"/>
        </w:rPr>
        <w:t>hea tahte lubaduse</w:t>
      </w:r>
      <w:r w:rsidR="00572A79" w:rsidRPr="00C14F35">
        <w:rPr>
          <w:color w:val="000000" w:themeColor="text1"/>
        </w:rPr>
        <w:t>“</w:t>
      </w:r>
      <w:r w:rsidRPr="00C14F35">
        <w:rPr>
          <w:color w:val="000000" w:themeColor="text1"/>
        </w:rPr>
        <w:t xml:space="preserve"> anda sisse oma ravimite rahastustaotlused kõigis EL liikmesriikides kahe aasta jooksul alates kõnealustele ravimitele müügiloa andmisest, kui liikmesriigi rahastusprotsess seda võimaldab. Samuti on loodud andmeplatvorm </w:t>
      </w:r>
      <w:proofErr w:type="spellStart"/>
      <w:r w:rsidRPr="00C14F35">
        <w:rPr>
          <w:i/>
          <w:iCs/>
          <w:color w:val="000000" w:themeColor="text1"/>
        </w:rPr>
        <w:t>European</w:t>
      </w:r>
      <w:proofErr w:type="spellEnd"/>
      <w:r w:rsidRPr="00C14F35">
        <w:rPr>
          <w:i/>
          <w:iCs/>
          <w:color w:val="000000" w:themeColor="text1"/>
        </w:rPr>
        <w:t xml:space="preserve"> Access </w:t>
      </w:r>
      <w:proofErr w:type="spellStart"/>
      <w:r w:rsidRPr="00C14F35">
        <w:rPr>
          <w:i/>
          <w:iCs/>
          <w:color w:val="000000" w:themeColor="text1"/>
        </w:rPr>
        <w:t>Hurdles</w:t>
      </w:r>
      <w:proofErr w:type="spellEnd"/>
      <w:r w:rsidRPr="00C14F35">
        <w:rPr>
          <w:i/>
          <w:iCs/>
          <w:color w:val="000000" w:themeColor="text1"/>
        </w:rPr>
        <w:t xml:space="preserve"> Portal</w:t>
      </w:r>
      <w:r w:rsidRPr="00C14F35">
        <w:rPr>
          <w:color w:val="000000" w:themeColor="text1"/>
        </w:rPr>
        <w:t>, mille eesmärgiks on koguda ja avaldada teavet ravimite rahastusprotsessiga tekkivate väljakutsete, takistuste ja viivituste kohta, jõudmaks nende juurpõhjusteni.</w:t>
      </w:r>
    </w:p>
    <w:p w14:paraId="0A396671" w14:textId="77777777" w:rsidR="00E57AC1" w:rsidRPr="00C14F35" w:rsidRDefault="00E57AC1" w:rsidP="00E57AC1">
      <w:pPr>
        <w:contextualSpacing/>
        <w:jc w:val="both"/>
        <w:rPr>
          <w:color w:val="000000" w:themeColor="text1"/>
        </w:rPr>
      </w:pPr>
    </w:p>
    <w:p w14:paraId="443A821E" w14:textId="2A92ACAE" w:rsidR="00FC6CCC" w:rsidRPr="00C14F35" w:rsidRDefault="00FC6CCC" w:rsidP="00E57AC1">
      <w:pPr>
        <w:contextualSpacing/>
        <w:jc w:val="both"/>
        <w:rPr>
          <w:color w:val="000000" w:themeColor="text1"/>
        </w:rPr>
      </w:pPr>
      <w:r w:rsidRPr="00C14F35">
        <w:rPr>
          <w:color w:val="000000" w:themeColor="text1"/>
        </w:rPr>
        <w:t>Kõike eeltoodut arvestades on RTL ettepanekuks jätta eelnõust välja kõik andmete- ja müügikaitset puudutavad muudatused.</w:t>
      </w:r>
      <w:r w:rsidR="008F0C6D" w:rsidRPr="00C14F35">
        <w:rPr>
          <w:color w:val="000000" w:themeColor="text1"/>
        </w:rPr>
        <w:t xml:space="preserve"> Need muudatused ei paranda ravimite kättesaadavust väiksemates riikides kuid avaldavad laiaulatuslikku negatiivset mõju ravimiarendusele, tuleviku investeeringutele ja nõrgestavad Euroopa Liidu konkurentsivõimet.</w:t>
      </w:r>
    </w:p>
    <w:p w14:paraId="476CF771" w14:textId="2ED4F2D6" w:rsidR="00FC6CCC" w:rsidRPr="00C14F35" w:rsidRDefault="00FC6CCC" w:rsidP="00DB6095">
      <w:pPr>
        <w:pStyle w:val="Pealkiri3"/>
      </w:pPr>
      <w:bookmarkStart w:id="2" w:name="_Toc139536082"/>
      <w:r w:rsidRPr="00C14F35">
        <w:lastRenderedPageBreak/>
        <w:t xml:space="preserve">Regulatiivandmekaitse ja turu ainumüügiõiguse perioodid – kõigis riikides turustamise, katmata ravivaldkondade, võrdlevate kl. uuringute, </w:t>
      </w:r>
      <w:proofErr w:type="spellStart"/>
      <w:r w:rsidRPr="00C14F35">
        <w:t>repurposing</w:t>
      </w:r>
      <w:proofErr w:type="spellEnd"/>
      <w:r w:rsidRPr="00C14F35">
        <w:t xml:space="preserve"> ees</w:t>
      </w:r>
      <w:r w:rsidR="00F2084C" w:rsidRPr="00C14F35">
        <w:t xml:space="preserve">t – kõigis riikides turustamise, katmata ravivaldkondade, võrdlevate kl. uuringute, </w:t>
      </w:r>
      <w:proofErr w:type="spellStart"/>
      <w:r w:rsidR="00F2084C" w:rsidRPr="00C14F35">
        <w:t>repurposing</w:t>
      </w:r>
      <w:proofErr w:type="spellEnd"/>
      <w:r w:rsidR="00F2084C" w:rsidRPr="00C14F35">
        <w:t xml:space="preserve"> eest (direktiivi </w:t>
      </w:r>
      <w:proofErr w:type="spellStart"/>
      <w:r w:rsidR="00F2084C" w:rsidRPr="00C14F35">
        <w:t>ptk</w:t>
      </w:r>
      <w:proofErr w:type="spellEnd"/>
      <w:r w:rsidR="00F2084C" w:rsidRPr="00C14F35">
        <w:t xml:space="preserve"> VII, artiklid 80-86, määruse artiklid 71-72)</w:t>
      </w:r>
      <w:bookmarkEnd w:id="2"/>
    </w:p>
    <w:p w14:paraId="3A5D82EB" w14:textId="4339C415" w:rsidR="00FC6CCC" w:rsidRPr="00C14F35" w:rsidRDefault="00FC6CCC" w:rsidP="00E57AC1">
      <w:pPr>
        <w:pStyle w:val="Kehatekst"/>
        <w:contextualSpacing/>
        <w:rPr>
          <w:rFonts w:ascii="Calibri" w:hAnsi="Calibri" w:cs="Calibri"/>
          <w:color w:val="000000" w:themeColor="text1"/>
          <w:sz w:val="22"/>
          <w:szCs w:val="22"/>
        </w:rPr>
      </w:pPr>
      <w:r w:rsidRPr="00C14F35">
        <w:rPr>
          <w:rFonts w:ascii="Calibri" w:hAnsi="Calibri" w:cs="Calibri"/>
          <w:color w:val="000000" w:themeColor="text1"/>
          <w:sz w:val="22"/>
          <w:szCs w:val="22"/>
        </w:rPr>
        <w:t>Ei ole kohane, et ravimiarenduses luuakse soodsamad tingimused (toetusmeetmed?)</w:t>
      </w:r>
      <w:r w:rsidR="000D7DAF" w:rsidRPr="00C14F35">
        <w:rPr>
          <w:rFonts w:ascii="Calibri" w:hAnsi="Calibri" w:cs="Calibri"/>
          <w:color w:val="000000" w:themeColor="text1"/>
          <w:sz w:val="22"/>
          <w:szCs w:val="22"/>
        </w:rPr>
        <w:t>,</w:t>
      </w:r>
      <w:r w:rsidRPr="00C14F35">
        <w:rPr>
          <w:rFonts w:ascii="Calibri" w:hAnsi="Calibri" w:cs="Calibri"/>
          <w:color w:val="000000" w:themeColor="text1"/>
          <w:sz w:val="22"/>
          <w:szCs w:val="22"/>
        </w:rPr>
        <w:t xml:space="preserve"> vaid võrdlevate kl</w:t>
      </w:r>
      <w:r w:rsidR="000D7DAF" w:rsidRPr="00C14F35">
        <w:rPr>
          <w:rFonts w:ascii="Calibri" w:hAnsi="Calibri" w:cs="Calibri"/>
          <w:color w:val="000000" w:themeColor="text1"/>
          <w:sz w:val="22"/>
          <w:szCs w:val="22"/>
        </w:rPr>
        <w:t>iiniliste</w:t>
      </w:r>
      <w:r w:rsidRPr="00C14F35">
        <w:rPr>
          <w:rFonts w:ascii="Calibri" w:hAnsi="Calibri" w:cs="Calibri"/>
          <w:color w:val="000000" w:themeColor="text1"/>
          <w:sz w:val="22"/>
          <w:szCs w:val="22"/>
        </w:rPr>
        <w:t xml:space="preserve"> uuringute läbiviimisele. See eeldus ei võta piisavalt arvesse ravimiarenduse teaduslikke ega eetilisi aspekte, eriti kui olemasolev kliiniline praktika või andmed on teatud patsientide populatsioonides (lapsed, haruldased haigused) üsna piiratud ja võrdlevaid uuringuid läbi viia on keerukas ning efekti ja ohutuse hindamiseks on vaja kasutada muid metoodikaid. Kui siiski on õigustatud võrdlevate kliiniliste uuringute läbiviimine, siis on hea tõdeda, et seda ka toetatakse lisaajaga RDP-</w:t>
      </w:r>
      <w:proofErr w:type="spellStart"/>
      <w:r w:rsidRPr="00C14F35">
        <w:rPr>
          <w:rFonts w:ascii="Calibri" w:hAnsi="Calibri" w:cs="Calibri"/>
          <w:color w:val="000000" w:themeColor="text1"/>
          <w:sz w:val="22"/>
          <w:szCs w:val="22"/>
        </w:rPr>
        <w:t>le</w:t>
      </w:r>
      <w:proofErr w:type="spellEnd"/>
      <w:r w:rsidRPr="00C14F35">
        <w:rPr>
          <w:rFonts w:ascii="Calibri" w:hAnsi="Calibri" w:cs="Calibri"/>
          <w:color w:val="000000" w:themeColor="text1"/>
          <w:sz w:val="22"/>
          <w:szCs w:val="22"/>
        </w:rPr>
        <w:t>, samas on oluline ära märkida, et võrdlevate kl</w:t>
      </w:r>
      <w:r w:rsidR="000D7DAF" w:rsidRPr="00C14F35">
        <w:rPr>
          <w:rFonts w:ascii="Calibri" w:hAnsi="Calibri" w:cs="Calibri"/>
          <w:color w:val="000000" w:themeColor="text1"/>
          <w:sz w:val="22"/>
          <w:szCs w:val="22"/>
        </w:rPr>
        <w:t>iiniliste</w:t>
      </w:r>
      <w:r w:rsidRPr="00C14F35">
        <w:rPr>
          <w:rFonts w:ascii="Calibri" w:hAnsi="Calibri" w:cs="Calibri"/>
          <w:color w:val="000000" w:themeColor="text1"/>
          <w:sz w:val="22"/>
          <w:szCs w:val="22"/>
        </w:rPr>
        <w:t xml:space="preserve"> uuringute läbiviimine on seotud märkimisväärsete jõupingutuste ja kulutustega ning kuuekuuline RDP pikendus on ebapiisav.</w:t>
      </w:r>
    </w:p>
    <w:p w14:paraId="3074352F" w14:textId="77777777" w:rsidR="00FC6CCC" w:rsidRPr="00C14F35" w:rsidRDefault="00FC6CCC" w:rsidP="00E57AC1">
      <w:pPr>
        <w:spacing w:after="0" w:line="276" w:lineRule="auto"/>
        <w:contextualSpacing/>
        <w:jc w:val="both"/>
        <w:rPr>
          <w:color w:val="auto"/>
        </w:rPr>
      </w:pPr>
    </w:p>
    <w:p w14:paraId="75290E4F" w14:textId="489ECAA4" w:rsidR="00FC6CCC" w:rsidRPr="00C14F35" w:rsidRDefault="00FC6CCC" w:rsidP="00DB6095">
      <w:pPr>
        <w:pStyle w:val="Pealkiri3"/>
      </w:pPr>
      <w:bookmarkStart w:id="3" w:name="_Toc139536083"/>
      <w:r w:rsidRPr="00C14F35">
        <w:t xml:space="preserve">Geneeriliste ja bioloogiliselt sarnaste ravimite toetusmeetmed </w:t>
      </w:r>
      <w:r w:rsidR="001F3BD0" w:rsidRPr="00C14F35">
        <w:t xml:space="preserve">(nt määruse artikkel 71.6 ja 72, direktiivi </w:t>
      </w:r>
      <w:proofErr w:type="spellStart"/>
      <w:r w:rsidR="001F3BD0" w:rsidRPr="00C14F35">
        <w:t>ptk</w:t>
      </w:r>
      <w:proofErr w:type="spellEnd"/>
      <w:r w:rsidR="001F3BD0" w:rsidRPr="00C14F35">
        <w:t xml:space="preserve"> VII ja eriti artikkel 85, direktiivi artikkel 21)</w:t>
      </w:r>
      <w:bookmarkEnd w:id="3"/>
    </w:p>
    <w:p w14:paraId="4316DC6B" w14:textId="72F97C3E" w:rsidR="00FC6CCC" w:rsidRPr="00C14F35" w:rsidRDefault="00FC6CCC" w:rsidP="00E57AC1">
      <w:pPr>
        <w:contextualSpacing/>
        <w:jc w:val="both"/>
        <w:rPr>
          <w:color w:val="000000" w:themeColor="text1"/>
        </w:rPr>
      </w:pPr>
      <w:r w:rsidRPr="00C14F35">
        <w:rPr>
          <w:color w:val="000000" w:themeColor="text1"/>
        </w:rPr>
        <w:t>Geneeriliste ravimite kiiremat turule jõudmist võiks soodustada etapili</w:t>
      </w:r>
      <w:r w:rsidR="000D7DAF" w:rsidRPr="00C14F35">
        <w:rPr>
          <w:color w:val="000000" w:themeColor="text1"/>
        </w:rPr>
        <w:t xml:space="preserve">st </w:t>
      </w:r>
      <w:r w:rsidRPr="00C14F35">
        <w:rPr>
          <w:color w:val="000000" w:themeColor="text1"/>
        </w:rPr>
        <w:t>registreerimistoimiku esitami</w:t>
      </w:r>
      <w:r w:rsidR="000D7DAF" w:rsidRPr="00C14F35">
        <w:rPr>
          <w:color w:val="000000" w:themeColor="text1"/>
        </w:rPr>
        <w:t>st</w:t>
      </w:r>
      <w:r w:rsidRPr="00C14F35">
        <w:rPr>
          <w:color w:val="000000" w:themeColor="text1"/>
        </w:rPr>
        <w:t xml:space="preserve">. Näiteks, administratiivdokumentatsiooni läbivaatamise protseduuri jooksul kvaliteedidokumentatsioon (3 </w:t>
      </w:r>
      <w:proofErr w:type="spellStart"/>
      <w:r w:rsidRPr="00C14F35">
        <w:rPr>
          <w:color w:val="000000" w:themeColor="text1"/>
        </w:rPr>
        <w:t>Module</w:t>
      </w:r>
      <w:proofErr w:type="spellEnd"/>
      <w:r w:rsidRPr="00C14F35">
        <w:rPr>
          <w:color w:val="000000" w:themeColor="text1"/>
        </w:rPr>
        <w:t xml:space="preserve"> </w:t>
      </w:r>
      <w:proofErr w:type="spellStart"/>
      <w:r w:rsidRPr="00C14F35">
        <w:rPr>
          <w:color w:val="000000" w:themeColor="text1"/>
        </w:rPr>
        <w:t>eCTD</w:t>
      </w:r>
      <w:proofErr w:type="spellEnd"/>
      <w:r w:rsidRPr="00C14F35">
        <w:rPr>
          <w:color w:val="000000" w:themeColor="text1"/>
        </w:rPr>
        <w:t>) on veel täiendusel/ uurimisel, kuid esitamiseks määratud tähtajaks on valmis. Tootja/ML hoidja on huvitatud ravimi registreerimisest (ta maksab selle protseduuri eest) ja see minimiseeriks riski, et ametitel tekib suur halduskoormus.</w:t>
      </w:r>
    </w:p>
    <w:p w14:paraId="3AA37B37" w14:textId="77777777" w:rsidR="007E7287" w:rsidRPr="00C14F35" w:rsidRDefault="007E7287" w:rsidP="00E57AC1">
      <w:pPr>
        <w:contextualSpacing/>
        <w:jc w:val="both"/>
        <w:rPr>
          <w:color w:val="000000" w:themeColor="text1"/>
        </w:rPr>
      </w:pPr>
    </w:p>
    <w:p w14:paraId="5F12C81D" w14:textId="77777777" w:rsidR="00FC6CCC" w:rsidRPr="00C14F35" w:rsidRDefault="00FC6CCC" w:rsidP="00E57AC1">
      <w:pPr>
        <w:contextualSpacing/>
        <w:jc w:val="both"/>
        <w:rPr>
          <w:color w:val="000000" w:themeColor="text1"/>
        </w:rPr>
      </w:pPr>
      <w:r w:rsidRPr="00C14F35">
        <w:rPr>
          <w:color w:val="000000" w:themeColor="text1"/>
        </w:rPr>
        <w:t>Ravimite kättesaadavuse ja tarneraskuse suurim pudelikael on tooraine kättesaadavus. Sageli on API tootjad kolmandates riikides ning nende tootmisprotsessi on keeruline mõjutada. Ravimitootja otsib pidevalt alternatiivseid toimeainetootjaid ning sageli tuleb olla paindlik ning operatiivne. Euroopa üleselt võiks olla tsentraalne toimeainete tootjate register. Kui me räägime geneeriliste ravimite tootjatest, siis sageli dubleeruvad ka toimeainetootjad. Meie ettepanek oleks püüda lihtsustada toimeainetootjate registreerimisprotsessi. Näiteks, kui API tootja on juba registris registreeritud, siis võibolla ei peaks näiteks tegema kolme partii stabiilsusuuringut, piisaks ühest, sama puudutab ka haldusmenetluslikku osa. Siit edasi mõeldes saab ehk veel midagi lihtsustada (mis ei mõjuta ravimiohutust ja tõhusust).</w:t>
      </w:r>
    </w:p>
    <w:p w14:paraId="14B7D479" w14:textId="77777777" w:rsidR="007E7287" w:rsidRPr="00C14F35" w:rsidRDefault="007E7287" w:rsidP="00E57AC1">
      <w:pPr>
        <w:contextualSpacing/>
        <w:jc w:val="both"/>
        <w:rPr>
          <w:color w:val="000000" w:themeColor="text1"/>
        </w:rPr>
      </w:pPr>
    </w:p>
    <w:p w14:paraId="00F3EBDC" w14:textId="106482E7" w:rsidR="000D7DAF" w:rsidRPr="00C14F35" w:rsidRDefault="00FC6CCC" w:rsidP="00E57AC1">
      <w:pPr>
        <w:contextualSpacing/>
        <w:jc w:val="both"/>
        <w:rPr>
          <w:color w:val="000000" w:themeColor="text1"/>
        </w:rPr>
      </w:pPr>
      <w:r w:rsidRPr="00C14F35">
        <w:rPr>
          <w:color w:val="000000" w:themeColor="text1"/>
        </w:rPr>
        <w:t xml:space="preserve">Kui ravim on (kodu)turul juba aastaid olnud ning soovitakse liikmesriikide teistele turgudele registreerida, siis kliiniliste uuringute dokumentatsiooni nõue on kohati ebamõistlikult koormav. Näiteks kui toode on turul 20 või isegi rohkem aastat, teda on miljonites pakendites müüdud, tootjat ja ML hoidjat on pidevalt inspekteeritud/auditeeritud, siis võiks see ravim saada lihtsustatud registreerimise või koguni automaatse tähtajatu müügiloa kogu ühenduses. </w:t>
      </w:r>
    </w:p>
    <w:p w14:paraId="14AED6EA" w14:textId="77777777" w:rsidR="00E57AC1" w:rsidRPr="00C14F35" w:rsidRDefault="00E57AC1" w:rsidP="00E57AC1">
      <w:pPr>
        <w:contextualSpacing/>
        <w:jc w:val="both"/>
        <w:rPr>
          <w:color w:val="000000" w:themeColor="text1"/>
        </w:rPr>
      </w:pPr>
    </w:p>
    <w:p w14:paraId="3DCAD165" w14:textId="745DA0E4" w:rsidR="00FC6CCC" w:rsidRPr="00C14F35" w:rsidRDefault="00FC6CCC" w:rsidP="00DB6095">
      <w:pPr>
        <w:pStyle w:val="Pealkiri3"/>
      </w:pPr>
      <w:bookmarkStart w:id="4" w:name="_Toc139536084"/>
      <w:r w:rsidRPr="00C14F35">
        <w:t>Harvikhaiguste ja eriti suure katmata ravivajaduse ravimite toetusmeetmed</w:t>
      </w:r>
      <w:r w:rsidR="00712406" w:rsidRPr="00C14F35">
        <w:t xml:space="preserve"> (määruse </w:t>
      </w:r>
      <w:proofErr w:type="spellStart"/>
      <w:r w:rsidR="00712406" w:rsidRPr="00C14F35">
        <w:t>ptk</w:t>
      </w:r>
      <w:proofErr w:type="spellEnd"/>
      <w:r w:rsidR="00712406" w:rsidRPr="00C14F35">
        <w:t xml:space="preserve"> VI, artiklid 63-73)</w:t>
      </w:r>
      <w:bookmarkEnd w:id="4"/>
    </w:p>
    <w:p w14:paraId="28CFE363" w14:textId="5C5F4C95" w:rsidR="00FC6CCC" w:rsidRPr="00C14F35" w:rsidRDefault="00FC6CCC" w:rsidP="00E57AC1">
      <w:pPr>
        <w:pStyle w:val="HTML-eelvormindatud"/>
        <w:spacing w:line="120" w:lineRule="atLeast"/>
        <w:contextualSpacing/>
        <w:jc w:val="both"/>
        <w:rPr>
          <w:rStyle w:val="y2iqfc"/>
          <w:rFonts w:ascii="Calibri" w:hAnsi="Calibri" w:cs="Calibri"/>
          <w:color w:val="202124"/>
          <w:sz w:val="22"/>
          <w:szCs w:val="22"/>
        </w:rPr>
      </w:pPr>
      <w:r w:rsidRPr="00C14F35">
        <w:rPr>
          <w:rStyle w:val="y2iqfc"/>
          <w:rFonts w:ascii="Calibri" w:hAnsi="Calibri" w:cs="Calibri"/>
          <w:color w:val="202124"/>
          <w:sz w:val="22"/>
          <w:szCs w:val="22"/>
        </w:rPr>
        <w:t>Harvikravimite regulatsioon on olnud Euroopas üsna edukas. Patsientide vajaduste rahuldamiseks on vaja siiski rohkem. Seda eesmärki ja meetmeid ei leia komisjoni ettepanekust. Toetame komiteede struktuuri ja menetluste sujuvamaks muutmist, on jätkuvalt UMN/</w:t>
      </w:r>
      <w:proofErr w:type="spellStart"/>
      <w:r w:rsidRPr="00C14F35">
        <w:rPr>
          <w:rStyle w:val="y2iqfc"/>
          <w:rFonts w:ascii="Calibri" w:hAnsi="Calibri" w:cs="Calibri"/>
          <w:color w:val="202124"/>
          <w:sz w:val="22"/>
          <w:szCs w:val="22"/>
        </w:rPr>
        <w:t>HUMN-i</w:t>
      </w:r>
      <w:proofErr w:type="spellEnd"/>
      <w:r w:rsidRPr="00C14F35">
        <w:rPr>
          <w:rStyle w:val="y2iqfc"/>
          <w:rFonts w:ascii="Calibri" w:hAnsi="Calibri" w:cs="Calibri"/>
          <w:color w:val="202124"/>
          <w:sz w:val="22"/>
          <w:szCs w:val="22"/>
        </w:rPr>
        <w:t xml:space="preserve"> lähenemisviisi juurutamine väga murettekitav.</w:t>
      </w:r>
    </w:p>
    <w:p w14:paraId="7266659E" w14:textId="4A1037FD" w:rsidR="00FC6CCC" w:rsidRPr="00C14F35" w:rsidRDefault="00FC6CCC" w:rsidP="00E57AC1">
      <w:pPr>
        <w:pStyle w:val="HTML-eelvormindatud"/>
        <w:spacing w:line="120" w:lineRule="atLeast"/>
        <w:contextualSpacing/>
        <w:jc w:val="both"/>
        <w:rPr>
          <w:rStyle w:val="y2iqfc"/>
          <w:rFonts w:ascii="Calibri" w:hAnsi="Calibri" w:cs="Calibri"/>
          <w:color w:val="202124"/>
          <w:sz w:val="22"/>
          <w:szCs w:val="22"/>
        </w:rPr>
      </w:pPr>
      <w:r w:rsidRPr="00C14F35">
        <w:rPr>
          <w:rStyle w:val="y2iqfc"/>
          <w:rFonts w:ascii="Calibri" w:hAnsi="Calibri" w:cs="Calibri"/>
          <w:color w:val="202124"/>
          <w:sz w:val="22"/>
          <w:szCs w:val="22"/>
        </w:rPr>
        <w:lastRenderedPageBreak/>
        <w:t>Harvikravimite definitsioon (ODD) on tõeliselt oluline ja kuigi ettepanek säilitab praeguse haiguse levimuse piiri, võib see kaasa tuua edasisi ettearvamatuid muudatusi.</w:t>
      </w:r>
    </w:p>
    <w:p w14:paraId="5D555AA1" w14:textId="77777777" w:rsidR="00FC6CCC" w:rsidRPr="00C14F35" w:rsidRDefault="00FC6CCC" w:rsidP="00E57AC1">
      <w:pPr>
        <w:pStyle w:val="HTML-eelvormindatud"/>
        <w:spacing w:line="120" w:lineRule="atLeast"/>
        <w:contextualSpacing/>
        <w:jc w:val="both"/>
        <w:rPr>
          <w:rStyle w:val="y2iqfc"/>
          <w:rFonts w:ascii="Calibri" w:hAnsi="Calibri" w:cs="Calibri"/>
          <w:color w:val="202124"/>
          <w:sz w:val="22"/>
          <w:szCs w:val="22"/>
        </w:rPr>
      </w:pPr>
    </w:p>
    <w:p w14:paraId="2E82B29F" w14:textId="1B82CC7D" w:rsidR="00FC6CCC" w:rsidRPr="00C14F35" w:rsidRDefault="00FC6CCC" w:rsidP="00E57AC1">
      <w:pPr>
        <w:pStyle w:val="HTML-eelvormindatud"/>
        <w:spacing w:line="120" w:lineRule="atLeast"/>
        <w:contextualSpacing/>
        <w:jc w:val="both"/>
        <w:rPr>
          <w:rStyle w:val="y2iqfc"/>
          <w:rFonts w:ascii="Calibri" w:hAnsi="Calibri" w:cs="Calibri"/>
          <w:color w:val="202124"/>
          <w:sz w:val="22"/>
          <w:szCs w:val="22"/>
        </w:rPr>
      </w:pPr>
      <w:r w:rsidRPr="00C14F35">
        <w:rPr>
          <w:rStyle w:val="y2iqfc"/>
          <w:rFonts w:ascii="Calibri" w:hAnsi="Calibri" w:cs="Calibri"/>
          <w:color w:val="202124"/>
          <w:sz w:val="22"/>
          <w:szCs w:val="22"/>
        </w:rPr>
        <w:t xml:space="preserve">Tugevad ja usaldusväärsed stiimulid on endiselt olulised. Erinevalt </w:t>
      </w:r>
      <w:r w:rsidR="00041E74" w:rsidRPr="00C14F35">
        <w:rPr>
          <w:rStyle w:val="y2iqfc"/>
          <w:rFonts w:ascii="Calibri" w:hAnsi="Calibri" w:cs="Calibri"/>
          <w:color w:val="202124"/>
          <w:sz w:val="22"/>
          <w:szCs w:val="22"/>
        </w:rPr>
        <w:t>k</w:t>
      </w:r>
      <w:r w:rsidRPr="00C14F35">
        <w:rPr>
          <w:rStyle w:val="y2iqfc"/>
          <w:rFonts w:ascii="Calibri" w:hAnsi="Calibri" w:cs="Calibri"/>
          <w:color w:val="202124"/>
          <w:sz w:val="22"/>
          <w:szCs w:val="22"/>
        </w:rPr>
        <w:t>omisjoni ettepanekust ning selle valdkonna teadus- ja arendustegevuse investeeringute soodustamiseks toetame lihtsat ja prognoositavat stiimulite süsteemi, mille aluseks on praegune 10-aastane turustamisõigus, kusjuures modulatsioon võtab arvesse konkreetseid teaduslikke väljakutseid koos vastavate investeeringutega.</w:t>
      </w:r>
    </w:p>
    <w:p w14:paraId="670B5952" w14:textId="77777777" w:rsidR="00FC6CCC" w:rsidRPr="00C14F35" w:rsidRDefault="00FC6CCC" w:rsidP="00E57AC1">
      <w:pPr>
        <w:pStyle w:val="HTML-eelvormindatud"/>
        <w:spacing w:line="120" w:lineRule="atLeast"/>
        <w:contextualSpacing/>
        <w:jc w:val="both"/>
        <w:rPr>
          <w:rFonts w:ascii="Calibri" w:hAnsi="Calibri" w:cs="Calibri"/>
          <w:color w:val="202124"/>
          <w:sz w:val="22"/>
          <w:szCs w:val="22"/>
        </w:rPr>
      </w:pPr>
    </w:p>
    <w:p w14:paraId="396E9DA5" w14:textId="151868AF" w:rsidR="00FC6CCC" w:rsidRPr="00C14F35" w:rsidRDefault="00FC6CCC" w:rsidP="00E57AC1">
      <w:pPr>
        <w:spacing w:after="240"/>
        <w:contextualSpacing/>
        <w:jc w:val="both"/>
        <w:rPr>
          <w:color w:val="000000" w:themeColor="text1"/>
        </w:rPr>
      </w:pPr>
      <w:r w:rsidRPr="00C14F35">
        <w:rPr>
          <w:color w:val="000000" w:themeColor="text1"/>
        </w:rPr>
        <w:t>Märkimisväärne osa eelnõust keskendub eriti suure katmata ravivajaduse (HUMN) toetamismeetmetele. See tundub olevat vastuolus patsiendi-kesksusega ehk enamuse patsientide vajadustega – arendust on vaja soodustada ka seal, kus tervisekasu kõige suurem ja käegakatsutavam, mitte ainult HUMN.</w:t>
      </w:r>
    </w:p>
    <w:p w14:paraId="5A7891EC" w14:textId="77777777" w:rsidR="00E57AC1" w:rsidRPr="00C14F35" w:rsidRDefault="00E57AC1" w:rsidP="00E57AC1">
      <w:pPr>
        <w:spacing w:after="240"/>
        <w:contextualSpacing/>
        <w:jc w:val="both"/>
        <w:rPr>
          <w:color w:val="000000" w:themeColor="text1"/>
        </w:rPr>
      </w:pPr>
    </w:p>
    <w:p w14:paraId="63A28A45" w14:textId="2E984432" w:rsidR="00FC6CCC" w:rsidRPr="00C14F35" w:rsidRDefault="000D7DAF" w:rsidP="00E57AC1">
      <w:pPr>
        <w:spacing w:after="0" w:line="276" w:lineRule="auto"/>
        <w:ind w:right="4"/>
        <w:contextualSpacing/>
        <w:jc w:val="both"/>
        <w:rPr>
          <w:color w:val="000000" w:themeColor="text1"/>
        </w:rPr>
      </w:pPr>
      <w:r w:rsidRPr="00C14F35">
        <w:rPr>
          <w:iCs/>
          <w:color w:val="000000" w:themeColor="text1"/>
        </w:rPr>
        <w:t>R</w:t>
      </w:r>
      <w:r w:rsidR="00FC6CCC" w:rsidRPr="00C14F35">
        <w:rPr>
          <w:iCs/>
          <w:color w:val="000000" w:themeColor="text1"/>
        </w:rPr>
        <w:t xml:space="preserve">egulatsioonis on mitmeid ebaselgelt defineeritud mõisteid. Nt </w:t>
      </w:r>
      <w:r w:rsidRPr="00C14F35">
        <w:rPr>
          <w:iCs/>
          <w:color w:val="000000" w:themeColor="text1"/>
        </w:rPr>
        <w:t>„</w:t>
      </w:r>
      <w:r w:rsidR="00FC6CCC" w:rsidRPr="00C14F35">
        <w:rPr>
          <w:color w:val="000000" w:themeColor="text1"/>
        </w:rPr>
        <w:t>katmata ravivajadus</w:t>
      </w:r>
      <w:r w:rsidRPr="00C14F35">
        <w:rPr>
          <w:color w:val="000000" w:themeColor="text1"/>
        </w:rPr>
        <w:t>“</w:t>
      </w:r>
      <w:r w:rsidR="00FC6CCC" w:rsidRPr="00C14F35">
        <w:rPr>
          <w:iCs/>
          <w:color w:val="000000" w:themeColor="text1"/>
        </w:rPr>
        <w:t xml:space="preserve"> </w:t>
      </w:r>
      <w:r w:rsidR="00FC6CCC" w:rsidRPr="00C14F35">
        <w:rPr>
          <w:i/>
          <w:iCs/>
          <w:color w:val="000000" w:themeColor="text1"/>
        </w:rPr>
        <w:t>(</w:t>
      </w:r>
      <w:proofErr w:type="spellStart"/>
      <w:r w:rsidR="00FC6CCC" w:rsidRPr="00C14F35">
        <w:rPr>
          <w:i/>
          <w:iCs/>
          <w:color w:val="000000" w:themeColor="text1"/>
        </w:rPr>
        <w:t>unmet</w:t>
      </w:r>
      <w:proofErr w:type="spellEnd"/>
      <w:r w:rsidR="00FC6CCC" w:rsidRPr="00C14F35">
        <w:rPr>
          <w:i/>
          <w:iCs/>
          <w:color w:val="000000" w:themeColor="text1"/>
        </w:rPr>
        <w:t xml:space="preserve"> </w:t>
      </w:r>
      <w:proofErr w:type="spellStart"/>
      <w:r w:rsidR="00FC6CCC" w:rsidRPr="00C14F35">
        <w:rPr>
          <w:i/>
          <w:iCs/>
          <w:color w:val="000000" w:themeColor="text1"/>
        </w:rPr>
        <w:t>medical</w:t>
      </w:r>
      <w:proofErr w:type="spellEnd"/>
      <w:r w:rsidR="00FC6CCC" w:rsidRPr="00C14F35">
        <w:rPr>
          <w:i/>
          <w:iCs/>
          <w:color w:val="000000" w:themeColor="text1"/>
        </w:rPr>
        <w:t xml:space="preserve"> need),</w:t>
      </w:r>
      <w:r w:rsidR="00FC6CCC" w:rsidRPr="00C14F35">
        <w:rPr>
          <w:iCs/>
          <w:color w:val="000000" w:themeColor="text1"/>
        </w:rPr>
        <w:t xml:space="preserve"> </w:t>
      </w:r>
      <w:r w:rsidRPr="00C14F35">
        <w:rPr>
          <w:iCs/>
          <w:color w:val="000000" w:themeColor="text1"/>
        </w:rPr>
        <w:t>„</w:t>
      </w:r>
      <w:r w:rsidR="00FC6CCC" w:rsidRPr="00C14F35">
        <w:rPr>
          <w:iCs/>
          <w:color w:val="000000" w:themeColor="text1"/>
        </w:rPr>
        <w:t>erakordne raviviisi edasiarendus/areng</w:t>
      </w:r>
      <w:r w:rsidRPr="00C14F35">
        <w:rPr>
          <w:iCs/>
          <w:color w:val="000000" w:themeColor="text1"/>
        </w:rPr>
        <w:t>““</w:t>
      </w:r>
      <w:r w:rsidR="00FC6CCC" w:rsidRPr="00C14F35">
        <w:rPr>
          <w:iCs/>
          <w:color w:val="000000" w:themeColor="text1"/>
        </w:rPr>
        <w:t xml:space="preserve"> </w:t>
      </w:r>
      <w:r w:rsidR="00FC6CCC" w:rsidRPr="00C14F35">
        <w:rPr>
          <w:i/>
          <w:iCs/>
          <w:color w:val="000000" w:themeColor="text1"/>
        </w:rPr>
        <w:t>(</w:t>
      </w:r>
      <w:proofErr w:type="spellStart"/>
      <w:r w:rsidR="00FC6CCC" w:rsidRPr="00C14F35">
        <w:rPr>
          <w:i/>
          <w:color w:val="000000" w:themeColor="text1"/>
        </w:rPr>
        <w:t>exceptional</w:t>
      </w:r>
      <w:proofErr w:type="spellEnd"/>
      <w:r w:rsidR="00FC6CCC" w:rsidRPr="00C14F35">
        <w:rPr>
          <w:i/>
          <w:color w:val="000000" w:themeColor="text1"/>
        </w:rPr>
        <w:t xml:space="preserve"> </w:t>
      </w:r>
      <w:proofErr w:type="spellStart"/>
      <w:r w:rsidR="00FC6CCC" w:rsidRPr="00C14F35">
        <w:rPr>
          <w:i/>
          <w:color w:val="000000" w:themeColor="text1"/>
        </w:rPr>
        <w:t>therapeutic</w:t>
      </w:r>
      <w:proofErr w:type="spellEnd"/>
      <w:r w:rsidR="00FC6CCC" w:rsidRPr="00C14F35">
        <w:rPr>
          <w:i/>
          <w:color w:val="000000" w:themeColor="text1"/>
        </w:rPr>
        <w:t xml:space="preserve"> </w:t>
      </w:r>
      <w:proofErr w:type="spellStart"/>
      <w:r w:rsidR="00FC6CCC" w:rsidRPr="00C14F35">
        <w:rPr>
          <w:i/>
          <w:color w:val="000000" w:themeColor="text1"/>
        </w:rPr>
        <w:t>advancement</w:t>
      </w:r>
      <w:proofErr w:type="spellEnd"/>
      <w:r w:rsidR="00FC6CCC" w:rsidRPr="00C14F35">
        <w:rPr>
          <w:i/>
          <w:color w:val="000000" w:themeColor="text1"/>
        </w:rPr>
        <w:t>),</w:t>
      </w:r>
      <w:r w:rsidR="00FC6CCC" w:rsidRPr="00C14F35">
        <w:rPr>
          <w:color w:val="000000" w:themeColor="text1"/>
        </w:rPr>
        <w:t xml:space="preserve"> </w:t>
      </w:r>
      <w:r w:rsidRPr="00C14F35">
        <w:rPr>
          <w:color w:val="000000" w:themeColor="text1"/>
        </w:rPr>
        <w:t>„</w:t>
      </w:r>
      <w:r w:rsidR="00FC6CCC" w:rsidRPr="00C14F35">
        <w:rPr>
          <w:color w:val="000000" w:themeColor="text1"/>
        </w:rPr>
        <w:t>oluline/</w:t>
      </w:r>
      <w:proofErr w:type="spellStart"/>
      <w:r w:rsidR="00FC6CCC" w:rsidRPr="00C14F35">
        <w:rPr>
          <w:color w:val="000000" w:themeColor="text1"/>
        </w:rPr>
        <w:t>mõtekas</w:t>
      </w:r>
      <w:proofErr w:type="spellEnd"/>
      <w:r w:rsidR="00FC6CCC" w:rsidRPr="00C14F35">
        <w:rPr>
          <w:color w:val="000000" w:themeColor="text1"/>
        </w:rPr>
        <w:t>/tähendusrikas haigestumuse ja suremuse vähendamine</w:t>
      </w:r>
      <w:r w:rsidRPr="00C14F35">
        <w:rPr>
          <w:color w:val="000000" w:themeColor="text1"/>
        </w:rPr>
        <w:t>“</w:t>
      </w:r>
      <w:r w:rsidR="00FC6CCC" w:rsidRPr="00C14F35">
        <w:rPr>
          <w:color w:val="000000" w:themeColor="text1"/>
        </w:rPr>
        <w:t xml:space="preserve"> </w:t>
      </w:r>
      <w:r w:rsidR="00FC6CCC" w:rsidRPr="00C14F35">
        <w:rPr>
          <w:i/>
          <w:color w:val="000000" w:themeColor="text1"/>
        </w:rPr>
        <w:t>(</w:t>
      </w:r>
      <w:proofErr w:type="spellStart"/>
      <w:r w:rsidR="00FC6CCC" w:rsidRPr="00C14F35">
        <w:rPr>
          <w:i/>
          <w:color w:val="000000" w:themeColor="text1"/>
        </w:rPr>
        <w:t>meaningful</w:t>
      </w:r>
      <w:proofErr w:type="spellEnd"/>
      <w:r w:rsidR="00FC6CCC" w:rsidRPr="00C14F35">
        <w:rPr>
          <w:i/>
          <w:color w:val="000000" w:themeColor="text1"/>
        </w:rPr>
        <w:t xml:space="preserve"> </w:t>
      </w:r>
      <w:proofErr w:type="spellStart"/>
      <w:r w:rsidR="00FC6CCC" w:rsidRPr="00C14F35">
        <w:rPr>
          <w:i/>
          <w:color w:val="000000" w:themeColor="text1"/>
        </w:rPr>
        <w:t>reduction</w:t>
      </w:r>
      <w:proofErr w:type="spellEnd"/>
      <w:r w:rsidR="00FC6CCC" w:rsidRPr="00C14F35">
        <w:rPr>
          <w:i/>
          <w:color w:val="000000" w:themeColor="text1"/>
        </w:rPr>
        <w:t xml:space="preserve"> in </w:t>
      </w:r>
      <w:proofErr w:type="spellStart"/>
      <w:r w:rsidR="00FC6CCC" w:rsidRPr="00C14F35">
        <w:rPr>
          <w:i/>
          <w:color w:val="000000" w:themeColor="text1"/>
        </w:rPr>
        <w:t>disease</w:t>
      </w:r>
      <w:proofErr w:type="spellEnd"/>
      <w:r w:rsidR="00FC6CCC" w:rsidRPr="00C14F35">
        <w:rPr>
          <w:i/>
          <w:color w:val="000000" w:themeColor="text1"/>
        </w:rPr>
        <w:t xml:space="preserve"> </w:t>
      </w:r>
      <w:proofErr w:type="spellStart"/>
      <w:r w:rsidR="00FC6CCC" w:rsidRPr="00C14F35">
        <w:rPr>
          <w:i/>
          <w:color w:val="000000" w:themeColor="text1"/>
        </w:rPr>
        <w:t>morbidity</w:t>
      </w:r>
      <w:proofErr w:type="spellEnd"/>
      <w:r w:rsidR="00FC6CCC" w:rsidRPr="00C14F35">
        <w:rPr>
          <w:i/>
          <w:color w:val="000000" w:themeColor="text1"/>
        </w:rPr>
        <w:t xml:space="preserve"> </w:t>
      </w:r>
      <w:proofErr w:type="spellStart"/>
      <w:r w:rsidR="00FC6CCC" w:rsidRPr="00C14F35">
        <w:rPr>
          <w:i/>
          <w:color w:val="000000" w:themeColor="text1"/>
        </w:rPr>
        <w:t>or</w:t>
      </w:r>
      <w:proofErr w:type="spellEnd"/>
      <w:r w:rsidR="00FC6CCC" w:rsidRPr="00C14F35">
        <w:rPr>
          <w:i/>
          <w:color w:val="000000" w:themeColor="text1"/>
        </w:rPr>
        <w:t xml:space="preserve"> </w:t>
      </w:r>
      <w:proofErr w:type="spellStart"/>
      <w:r w:rsidR="00FC6CCC" w:rsidRPr="00C14F35">
        <w:rPr>
          <w:i/>
          <w:color w:val="000000" w:themeColor="text1"/>
        </w:rPr>
        <w:t>mortality</w:t>
      </w:r>
      <w:proofErr w:type="spellEnd"/>
      <w:r w:rsidR="00FC6CCC" w:rsidRPr="00C14F35">
        <w:rPr>
          <w:i/>
          <w:color w:val="000000" w:themeColor="text1"/>
        </w:rPr>
        <w:t>).</w:t>
      </w:r>
      <w:r w:rsidR="00FC6CCC" w:rsidRPr="00C14F35">
        <w:rPr>
          <w:color w:val="000000" w:themeColor="text1"/>
        </w:rPr>
        <w:t xml:space="preserve"> Mõistete ebaselgus annab võimaluse nende üle vaielda ja hinnangute andmist venitada, mis omakorda lisab regulatiivsetele toetusmeetmete rakendamisele ebakindlust. Regulatsiooni võiks olla </w:t>
      </w:r>
      <w:r w:rsidR="00041E74" w:rsidRPr="00C14F35">
        <w:rPr>
          <w:color w:val="000000" w:themeColor="text1"/>
        </w:rPr>
        <w:t>sisse kirjutatud</w:t>
      </w:r>
      <w:r w:rsidR="00FC6CCC" w:rsidRPr="00C14F35">
        <w:rPr>
          <w:color w:val="000000" w:themeColor="text1"/>
        </w:rPr>
        <w:t xml:space="preserve"> mehhanismid, kuidas tagatakse tootjate ja EMA vaheline ühtse arusaama tekkimine (koos-defineerimine?, konsultatsiooni viis vms). </w:t>
      </w:r>
    </w:p>
    <w:p w14:paraId="6D9F7645" w14:textId="77777777" w:rsidR="00FC6CCC" w:rsidRPr="00C14F35" w:rsidRDefault="00FC6CCC" w:rsidP="00E57AC1">
      <w:pPr>
        <w:spacing w:after="0" w:line="276" w:lineRule="auto"/>
        <w:ind w:right="313"/>
        <w:contextualSpacing/>
        <w:jc w:val="both"/>
        <w:rPr>
          <w:color w:val="auto"/>
        </w:rPr>
      </w:pPr>
    </w:p>
    <w:p w14:paraId="198922EA" w14:textId="066CC08B" w:rsidR="00FC6CCC" w:rsidRPr="00C14F35" w:rsidRDefault="00FC6CCC" w:rsidP="00DB6095">
      <w:pPr>
        <w:pStyle w:val="Pealkiri3"/>
      </w:pPr>
      <w:bookmarkStart w:id="5" w:name="_Toc139536085"/>
      <w:r w:rsidRPr="00C14F35">
        <w:t>Pediaatrias kasutatavate ravimite muudatused</w:t>
      </w:r>
      <w:r w:rsidR="0090292A" w:rsidRPr="00C14F35">
        <w:t xml:space="preserve"> (määruse </w:t>
      </w:r>
      <w:proofErr w:type="spellStart"/>
      <w:r w:rsidR="0090292A" w:rsidRPr="00C14F35">
        <w:t>ptk</w:t>
      </w:r>
      <w:proofErr w:type="spellEnd"/>
      <w:r w:rsidR="0090292A" w:rsidRPr="00C14F35">
        <w:t xml:space="preserve"> VII)</w:t>
      </w:r>
      <w:bookmarkEnd w:id="5"/>
    </w:p>
    <w:p w14:paraId="3D0D2993" w14:textId="525BE170" w:rsidR="00FC6CCC" w:rsidRPr="00C14F35" w:rsidRDefault="00FC6CCC" w:rsidP="00E57AC1">
      <w:pPr>
        <w:pStyle w:val="HTML-eelvormindatud"/>
        <w:spacing w:line="120" w:lineRule="atLeast"/>
        <w:contextualSpacing/>
        <w:jc w:val="both"/>
        <w:rPr>
          <w:rStyle w:val="y2iqfc"/>
          <w:rFonts w:ascii="Calibri" w:hAnsi="Calibri" w:cs="Calibri"/>
          <w:color w:val="202124"/>
          <w:sz w:val="22"/>
          <w:szCs w:val="22"/>
        </w:rPr>
      </w:pPr>
      <w:proofErr w:type="spellStart"/>
      <w:r w:rsidRPr="00C14F35">
        <w:rPr>
          <w:rStyle w:val="y2iqfc"/>
          <w:rFonts w:ascii="Calibri" w:hAnsi="Calibri" w:cs="Calibri"/>
          <w:color w:val="202124"/>
          <w:sz w:val="22"/>
          <w:szCs w:val="22"/>
        </w:rPr>
        <w:t>MoA</w:t>
      </w:r>
      <w:proofErr w:type="spellEnd"/>
      <w:r w:rsidRPr="00C14F35">
        <w:rPr>
          <w:rStyle w:val="y2iqfc"/>
          <w:rFonts w:ascii="Calibri" w:hAnsi="Calibri" w:cs="Calibri"/>
          <w:color w:val="202124"/>
          <w:sz w:val="22"/>
          <w:szCs w:val="22"/>
        </w:rPr>
        <w:t xml:space="preserve"> (</w:t>
      </w:r>
      <w:proofErr w:type="spellStart"/>
      <w:r w:rsidRPr="00C14F35">
        <w:rPr>
          <w:rStyle w:val="y2iqfc"/>
          <w:rFonts w:ascii="Calibri" w:hAnsi="Calibri" w:cs="Calibri"/>
          <w:i/>
          <w:iCs/>
          <w:color w:val="202124"/>
          <w:sz w:val="22"/>
          <w:szCs w:val="22"/>
        </w:rPr>
        <w:t>Mechanism</w:t>
      </w:r>
      <w:proofErr w:type="spellEnd"/>
      <w:r w:rsidRPr="00C14F35">
        <w:rPr>
          <w:rStyle w:val="y2iqfc"/>
          <w:rFonts w:ascii="Calibri" w:hAnsi="Calibri" w:cs="Calibri"/>
          <w:i/>
          <w:iCs/>
          <w:color w:val="202124"/>
          <w:sz w:val="22"/>
          <w:szCs w:val="22"/>
        </w:rPr>
        <w:t xml:space="preserve"> of </w:t>
      </w:r>
      <w:proofErr w:type="spellStart"/>
      <w:r w:rsidRPr="00C14F35">
        <w:rPr>
          <w:rStyle w:val="y2iqfc"/>
          <w:rFonts w:ascii="Calibri" w:hAnsi="Calibri" w:cs="Calibri"/>
          <w:i/>
          <w:iCs/>
          <w:color w:val="202124"/>
          <w:sz w:val="22"/>
          <w:szCs w:val="22"/>
        </w:rPr>
        <w:t>Action</w:t>
      </w:r>
      <w:proofErr w:type="spellEnd"/>
      <w:r w:rsidRPr="00C14F35">
        <w:rPr>
          <w:rStyle w:val="y2iqfc"/>
          <w:rFonts w:ascii="Calibri" w:hAnsi="Calibri" w:cs="Calibri"/>
          <w:color w:val="202124"/>
          <w:sz w:val="22"/>
          <w:szCs w:val="22"/>
        </w:rPr>
        <w:t xml:space="preserve">) </w:t>
      </w:r>
      <w:proofErr w:type="spellStart"/>
      <w:r w:rsidRPr="00C14F35">
        <w:rPr>
          <w:rStyle w:val="y2iqfc"/>
          <w:rFonts w:ascii="Calibri" w:hAnsi="Calibri" w:cs="Calibri"/>
          <w:color w:val="202124"/>
          <w:sz w:val="22"/>
          <w:szCs w:val="22"/>
        </w:rPr>
        <w:t>PIP-ide</w:t>
      </w:r>
      <w:proofErr w:type="spellEnd"/>
      <w:r w:rsidRPr="00C14F35">
        <w:rPr>
          <w:rStyle w:val="y2iqfc"/>
          <w:rFonts w:ascii="Calibri" w:hAnsi="Calibri" w:cs="Calibri"/>
          <w:color w:val="202124"/>
          <w:sz w:val="22"/>
          <w:szCs w:val="22"/>
        </w:rPr>
        <w:t xml:space="preserve"> (</w:t>
      </w:r>
      <w:proofErr w:type="spellStart"/>
      <w:r w:rsidRPr="00C14F35">
        <w:rPr>
          <w:rFonts w:ascii="Calibri" w:eastAsiaTheme="minorEastAsia" w:hAnsi="Calibri" w:cs="Calibri"/>
          <w:i/>
          <w:iCs/>
          <w:sz w:val="22"/>
          <w:szCs w:val="22"/>
        </w:rPr>
        <w:t>Paediatric</w:t>
      </w:r>
      <w:proofErr w:type="spellEnd"/>
      <w:r w:rsidRPr="00C14F35">
        <w:rPr>
          <w:rFonts w:ascii="Calibri" w:eastAsiaTheme="minorEastAsia" w:hAnsi="Calibri" w:cs="Calibri"/>
          <w:i/>
          <w:iCs/>
          <w:sz w:val="22"/>
          <w:szCs w:val="22"/>
        </w:rPr>
        <w:t xml:space="preserve"> </w:t>
      </w:r>
      <w:proofErr w:type="spellStart"/>
      <w:r w:rsidRPr="00C14F35">
        <w:rPr>
          <w:rFonts w:ascii="Calibri" w:eastAsiaTheme="minorEastAsia" w:hAnsi="Calibri" w:cs="Calibri"/>
          <w:i/>
          <w:iCs/>
          <w:sz w:val="22"/>
          <w:szCs w:val="22"/>
        </w:rPr>
        <w:t>Investigation</w:t>
      </w:r>
      <w:proofErr w:type="spellEnd"/>
      <w:r w:rsidRPr="00C14F35">
        <w:rPr>
          <w:rFonts w:ascii="Calibri" w:eastAsiaTheme="minorEastAsia" w:hAnsi="Calibri" w:cs="Calibri"/>
          <w:i/>
          <w:iCs/>
          <w:sz w:val="22"/>
          <w:szCs w:val="22"/>
        </w:rPr>
        <w:t xml:space="preserve"> </w:t>
      </w:r>
      <w:proofErr w:type="spellStart"/>
      <w:r w:rsidRPr="00C14F35">
        <w:rPr>
          <w:rFonts w:ascii="Calibri" w:eastAsiaTheme="minorEastAsia" w:hAnsi="Calibri" w:cs="Calibri"/>
          <w:i/>
          <w:iCs/>
          <w:sz w:val="22"/>
          <w:szCs w:val="22"/>
        </w:rPr>
        <w:t>Plan</w:t>
      </w:r>
      <w:proofErr w:type="spellEnd"/>
      <w:r w:rsidRPr="00C14F35">
        <w:rPr>
          <w:rStyle w:val="Pealkiri5Mrk"/>
          <w:rFonts w:ascii="Calibri" w:hAnsi="Calibri" w:cs="Calibri"/>
          <w:color w:val="202124"/>
        </w:rPr>
        <w:t xml:space="preserve">) </w:t>
      </w:r>
      <w:r w:rsidRPr="00C14F35">
        <w:rPr>
          <w:rStyle w:val="y2iqfc"/>
          <w:rFonts w:ascii="Calibri" w:hAnsi="Calibri" w:cs="Calibri"/>
          <w:color w:val="202124"/>
          <w:sz w:val="22"/>
          <w:szCs w:val="22"/>
        </w:rPr>
        <w:t xml:space="preserve">tugev raamistik on hädavajalik, et tagada uue, komisjoni pakutud kohustuse eesmärgi saavutamine. Selle kohustusega peaks kaasnema suurem tasu ja meie hinnangul on vajalik </w:t>
      </w:r>
      <w:proofErr w:type="spellStart"/>
      <w:r w:rsidRPr="00C14F35">
        <w:rPr>
          <w:rStyle w:val="y2iqfc"/>
          <w:rFonts w:ascii="Calibri" w:hAnsi="Calibri" w:cs="Calibri"/>
          <w:color w:val="202124"/>
          <w:sz w:val="22"/>
          <w:szCs w:val="22"/>
        </w:rPr>
        <w:t>MoA</w:t>
      </w:r>
      <w:proofErr w:type="spellEnd"/>
      <w:r w:rsidRPr="00C14F35">
        <w:rPr>
          <w:rStyle w:val="y2iqfc"/>
          <w:rFonts w:ascii="Calibri" w:hAnsi="Calibri" w:cs="Calibri"/>
          <w:color w:val="202124"/>
          <w:sz w:val="22"/>
          <w:szCs w:val="22"/>
        </w:rPr>
        <w:t xml:space="preserve"> </w:t>
      </w:r>
      <w:proofErr w:type="spellStart"/>
      <w:r w:rsidRPr="00C14F35">
        <w:rPr>
          <w:rStyle w:val="y2iqfc"/>
          <w:rFonts w:ascii="Calibri" w:hAnsi="Calibri" w:cs="Calibri"/>
          <w:color w:val="202124"/>
          <w:sz w:val="22"/>
          <w:szCs w:val="22"/>
        </w:rPr>
        <w:t>PIP-de</w:t>
      </w:r>
      <w:proofErr w:type="spellEnd"/>
      <w:r w:rsidRPr="00C14F35">
        <w:rPr>
          <w:rStyle w:val="y2iqfc"/>
          <w:rFonts w:ascii="Calibri" w:hAnsi="Calibri" w:cs="Calibri"/>
          <w:color w:val="202124"/>
          <w:sz w:val="22"/>
          <w:szCs w:val="22"/>
        </w:rPr>
        <w:t xml:space="preserve"> täiendavalt kuuekuulist SPC pikendamist.</w:t>
      </w:r>
    </w:p>
    <w:p w14:paraId="3D00B994" w14:textId="77777777" w:rsidR="00FC6CCC" w:rsidRPr="00C14F35" w:rsidRDefault="00FC6CCC" w:rsidP="00E57AC1">
      <w:pPr>
        <w:pStyle w:val="HTML-eelvormindatud"/>
        <w:spacing w:line="120" w:lineRule="atLeast"/>
        <w:contextualSpacing/>
        <w:jc w:val="both"/>
        <w:rPr>
          <w:rStyle w:val="y2iqfc"/>
          <w:rFonts w:ascii="Calibri" w:hAnsi="Calibri" w:cs="Calibri"/>
          <w:color w:val="202124"/>
          <w:sz w:val="22"/>
          <w:szCs w:val="22"/>
        </w:rPr>
      </w:pPr>
    </w:p>
    <w:p w14:paraId="5FDC400D" w14:textId="77777777" w:rsidR="00FC6CCC" w:rsidRPr="00C14F35" w:rsidRDefault="00FC6CCC" w:rsidP="00E57AC1">
      <w:pPr>
        <w:pStyle w:val="HTML-eelvormindatud"/>
        <w:spacing w:line="120" w:lineRule="atLeast"/>
        <w:contextualSpacing/>
        <w:jc w:val="both"/>
        <w:rPr>
          <w:rStyle w:val="y2iqfc"/>
          <w:rFonts w:ascii="Calibri" w:hAnsi="Calibri" w:cs="Calibri"/>
          <w:color w:val="202124"/>
          <w:sz w:val="22"/>
          <w:szCs w:val="22"/>
        </w:rPr>
      </w:pPr>
      <w:r w:rsidRPr="00C14F35">
        <w:rPr>
          <w:rStyle w:val="y2iqfc"/>
          <w:rFonts w:ascii="Calibri" w:hAnsi="Calibri" w:cs="Calibri"/>
          <w:color w:val="202124"/>
          <w:sz w:val="22"/>
          <w:szCs w:val="22"/>
        </w:rPr>
        <w:t xml:space="preserve">Kui EMA nõuab </w:t>
      </w:r>
      <w:proofErr w:type="spellStart"/>
      <w:r w:rsidRPr="00C14F35">
        <w:rPr>
          <w:rStyle w:val="y2iqfc"/>
          <w:rFonts w:ascii="Calibri" w:hAnsi="Calibri" w:cs="Calibri"/>
          <w:color w:val="202124"/>
          <w:sz w:val="22"/>
          <w:szCs w:val="22"/>
        </w:rPr>
        <w:t>PIP-i</w:t>
      </w:r>
      <w:proofErr w:type="spellEnd"/>
      <w:r w:rsidRPr="00C14F35">
        <w:rPr>
          <w:rStyle w:val="y2iqfc"/>
          <w:rFonts w:ascii="Calibri" w:hAnsi="Calibri" w:cs="Calibri"/>
          <w:color w:val="202124"/>
          <w:sz w:val="22"/>
          <w:szCs w:val="22"/>
        </w:rPr>
        <w:t xml:space="preserve"> muudatusi, mis põhinevad välistel teaduslikel tõenditel (mitte </w:t>
      </w:r>
      <w:proofErr w:type="spellStart"/>
      <w:r w:rsidRPr="00C14F35">
        <w:rPr>
          <w:rStyle w:val="y2iqfc"/>
          <w:rFonts w:ascii="Calibri" w:hAnsi="Calibri" w:cs="Calibri"/>
          <w:color w:val="202124"/>
          <w:sz w:val="22"/>
          <w:szCs w:val="22"/>
        </w:rPr>
        <w:t>PIP-i</w:t>
      </w:r>
      <w:proofErr w:type="spellEnd"/>
      <w:r w:rsidRPr="00C14F35">
        <w:rPr>
          <w:rStyle w:val="y2iqfc"/>
          <w:rFonts w:ascii="Calibri" w:hAnsi="Calibri" w:cs="Calibri"/>
          <w:color w:val="202124"/>
          <w:sz w:val="22"/>
          <w:szCs w:val="22"/>
        </w:rPr>
        <w:t xml:space="preserve"> valdaja genereeritud), peab olema konsulteerimis- ja koostööprotsess koos avatud teaduslike arutelude ja teabe jagamisega </w:t>
      </w:r>
      <w:proofErr w:type="spellStart"/>
      <w:r w:rsidRPr="00C14F35">
        <w:rPr>
          <w:rStyle w:val="y2iqfc"/>
          <w:rFonts w:ascii="Calibri" w:hAnsi="Calibri" w:cs="Calibri"/>
          <w:color w:val="202124"/>
          <w:sz w:val="22"/>
          <w:szCs w:val="22"/>
        </w:rPr>
        <w:t>PIP-i</w:t>
      </w:r>
      <w:proofErr w:type="spellEnd"/>
      <w:r w:rsidRPr="00C14F35">
        <w:rPr>
          <w:rStyle w:val="y2iqfc"/>
          <w:rFonts w:ascii="Calibri" w:hAnsi="Calibri" w:cs="Calibri"/>
          <w:color w:val="202124"/>
          <w:sz w:val="22"/>
          <w:szCs w:val="22"/>
        </w:rPr>
        <w:t xml:space="preserve"> omanikuga. Tuleks taastada õigus taotleda EMA PIP taotluste ja muudatuste kohta tehtud otsuste uuesti läbivaatamist.</w:t>
      </w:r>
    </w:p>
    <w:p w14:paraId="1F921209" w14:textId="77777777" w:rsidR="00FC6CCC" w:rsidRPr="00C14F35" w:rsidRDefault="00FC6CCC" w:rsidP="00E57AC1">
      <w:pPr>
        <w:pStyle w:val="HTML-eelvormindatud"/>
        <w:spacing w:line="120" w:lineRule="atLeast"/>
        <w:contextualSpacing/>
        <w:jc w:val="both"/>
        <w:rPr>
          <w:rStyle w:val="y2iqfc"/>
          <w:rFonts w:ascii="Calibri" w:hAnsi="Calibri" w:cs="Calibri"/>
          <w:color w:val="202124"/>
          <w:sz w:val="22"/>
          <w:szCs w:val="22"/>
        </w:rPr>
      </w:pPr>
    </w:p>
    <w:p w14:paraId="41CA988B" w14:textId="77777777" w:rsidR="00FC6CCC" w:rsidRPr="00C14F35" w:rsidRDefault="00FC6CCC" w:rsidP="00E57AC1">
      <w:pPr>
        <w:pStyle w:val="HTML-eelvormindatud"/>
        <w:spacing w:line="120" w:lineRule="atLeast"/>
        <w:contextualSpacing/>
        <w:jc w:val="both"/>
        <w:rPr>
          <w:rStyle w:val="y2iqfc"/>
          <w:rFonts w:ascii="Calibri" w:hAnsi="Calibri" w:cs="Calibri"/>
          <w:color w:val="202124"/>
          <w:sz w:val="22"/>
          <w:szCs w:val="22"/>
        </w:rPr>
      </w:pPr>
      <w:r w:rsidRPr="00C14F35">
        <w:rPr>
          <w:rStyle w:val="y2iqfc"/>
          <w:rFonts w:ascii="Calibri" w:hAnsi="Calibri" w:cs="Calibri"/>
          <w:color w:val="202124"/>
          <w:sz w:val="22"/>
          <w:szCs w:val="22"/>
        </w:rPr>
        <w:t>Arvame, et kohustus tuua pediaatrilised ravimid kõikides liikmesriikides turule, tuleks kujundada paindlikumalt, et vastata patsientide tegelikele vajadustele ja nõudmistele kogu ELis.</w:t>
      </w:r>
    </w:p>
    <w:p w14:paraId="6E636D99" w14:textId="77777777" w:rsidR="003676B7" w:rsidRPr="00C14F35" w:rsidRDefault="003676B7" w:rsidP="00E57AC1">
      <w:pPr>
        <w:pStyle w:val="HTML-eelvormindatud"/>
        <w:spacing w:line="120" w:lineRule="atLeast"/>
        <w:contextualSpacing/>
        <w:jc w:val="both"/>
        <w:rPr>
          <w:rStyle w:val="y2iqfc"/>
          <w:rFonts w:ascii="Calibri" w:hAnsi="Calibri" w:cs="Calibri"/>
          <w:color w:val="202124"/>
          <w:sz w:val="22"/>
          <w:szCs w:val="22"/>
        </w:rPr>
      </w:pPr>
    </w:p>
    <w:p w14:paraId="2E77923D" w14:textId="77777777" w:rsidR="003676B7" w:rsidRPr="00C14F35" w:rsidRDefault="003676B7" w:rsidP="00E57AC1">
      <w:pPr>
        <w:pStyle w:val="HTML-eelvormindatud"/>
        <w:spacing w:line="120" w:lineRule="atLeast"/>
        <w:contextualSpacing/>
        <w:jc w:val="both"/>
        <w:rPr>
          <w:rFonts w:ascii="Calibri" w:hAnsi="Calibri" w:cs="Calibri"/>
          <w:color w:val="202124"/>
          <w:sz w:val="22"/>
          <w:szCs w:val="22"/>
        </w:rPr>
      </w:pPr>
    </w:p>
    <w:p w14:paraId="194AD938" w14:textId="2D9B443F" w:rsidR="00FC6CCC" w:rsidRPr="00C14F35" w:rsidRDefault="00FC6CCC" w:rsidP="00E57AC1">
      <w:pPr>
        <w:pStyle w:val="Pealkiri2"/>
        <w:contextualSpacing/>
        <w:rPr>
          <w:rFonts w:ascii="Calibri" w:hAnsi="Calibri" w:cs="Calibri"/>
        </w:rPr>
      </w:pPr>
      <w:bookmarkStart w:id="6" w:name="_Toc139536086"/>
      <w:r w:rsidRPr="00C14F35">
        <w:rPr>
          <w:rFonts w:ascii="Calibri" w:hAnsi="Calibri" w:cs="Calibri"/>
        </w:rPr>
        <w:t>Ravimite kättesaadavus ja tarnekindlus</w:t>
      </w:r>
      <w:bookmarkEnd w:id="6"/>
    </w:p>
    <w:p w14:paraId="3F468835" w14:textId="77777777" w:rsidR="00DB6095" w:rsidRPr="00C14F35" w:rsidRDefault="00DB6095" w:rsidP="00DB6095">
      <w:pPr>
        <w:pStyle w:val="Loendilik"/>
        <w:keepNext/>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40" w:line="259" w:lineRule="auto"/>
        <w:contextualSpacing/>
        <w:jc w:val="both"/>
        <w:outlineLvl w:val="2"/>
        <w:rPr>
          <w:rFonts w:eastAsiaTheme="minorHAnsi"/>
          <w:b/>
          <w:vanish/>
          <w:color w:val="auto"/>
          <w:kern w:val="2"/>
          <w:bdr w:val="none" w:sz="0" w:space="0" w:color="auto"/>
          <w:lang w:val="et-EE" w:eastAsia="en-US"/>
          <w14:ligatures w14:val="standardContextual"/>
        </w:rPr>
      </w:pPr>
      <w:bookmarkStart w:id="7" w:name="_Toc139359895"/>
      <w:bookmarkStart w:id="8" w:name="_Toc139360899"/>
      <w:bookmarkStart w:id="9" w:name="_Toc139536087"/>
      <w:bookmarkEnd w:id="7"/>
      <w:bookmarkEnd w:id="8"/>
      <w:bookmarkEnd w:id="9"/>
    </w:p>
    <w:p w14:paraId="677BEA32" w14:textId="7FFD9B94" w:rsidR="00FC6CCC" w:rsidRPr="00C14F35" w:rsidRDefault="00FC6CCC" w:rsidP="00DB6095">
      <w:pPr>
        <w:pStyle w:val="Pealkiri3"/>
      </w:pPr>
      <w:bookmarkStart w:id="10" w:name="_Toc139536088"/>
      <w:r w:rsidRPr="00C14F35">
        <w:t>Müügiloa hoidja ja hulgimüüja turustamise kohustus</w:t>
      </w:r>
      <w:r w:rsidR="00716296" w:rsidRPr="00C14F35">
        <w:t xml:space="preserve"> (direktiivi artiklid 56, 166-167)</w:t>
      </w:r>
      <w:bookmarkEnd w:id="10"/>
    </w:p>
    <w:p w14:paraId="17D46A7D" w14:textId="7379D3D4" w:rsidR="00FC6CCC" w:rsidRPr="00C14F35" w:rsidRDefault="00FC6CCC" w:rsidP="00E57AC1">
      <w:pPr>
        <w:spacing w:after="240"/>
        <w:contextualSpacing/>
        <w:jc w:val="both"/>
        <w:rPr>
          <w:color w:val="000000" w:themeColor="text1"/>
        </w:rPr>
      </w:pPr>
      <w:r w:rsidRPr="00C14F35">
        <w:rPr>
          <w:color w:val="000000" w:themeColor="text1"/>
        </w:rPr>
        <w:t>MLH esindajana väikeses liikmesriigis peame oluliseks, et MLH-l ei oleks iga ravimi iga tugevuse iga pakendisuuruse turustamise kohustust, kuna liikmesriigi populatsiooni väiksuse tõttu ei ole kõikide ravimite/tugevuste järgi nõudlust.</w:t>
      </w:r>
    </w:p>
    <w:p w14:paraId="25978E07" w14:textId="77777777" w:rsidR="00E57AC1" w:rsidRPr="00C14F35" w:rsidRDefault="00E57AC1" w:rsidP="00E57AC1">
      <w:pPr>
        <w:spacing w:after="240"/>
        <w:contextualSpacing/>
        <w:jc w:val="both"/>
        <w:rPr>
          <w:color w:val="000000" w:themeColor="text1"/>
        </w:rPr>
      </w:pPr>
    </w:p>
    <w:p w14:paraId="4B060D95" w14:textId="77777777" w:rsidR="00FC6CCC" w:rsidRPr="00C14F35" w:rsidRDefault="00FC6CCC" w:rsidP="00E57AC1">
      <w:pPr>
        <w:spacing w:after="240"/>
        <w:contextualSpacing/>
        <w:jc w:val="both"/>
        <w:rPr>
          <w:color w:val="000000" w:themeColor="text1"/>
        </w:rPr>
      </w:pPr>
      <w:r w:rsidRPr="00C14F35">
        <w:rPr>
          <w:color w:val="000000" w:themeColor="text1"/>
        </w:rPr>
        <w:t>Samuti peame oluliseks, et kui tsentraalse ML-</w:t>
      </w:r>
      <w:proofErr w:type="spellStart"/>
      <w:r w:rsidRPr="00C14F35">
        <w:rPr>
          <w:color w:val="000000" w:themeColor="text1"/>
        </w:rPr>
        <w:t>ga</w:t>
      </w:r>
      <w:proofErr w:type="spellEnd"/>
      <w:r w:rsidRPr="00C14F35">
        <w:rPr>
          <w:color w:val="000000" w:themeColor="text1"/>
        </w:rPr>
        <w:t xml:space="preserve"> ravimi PIP-st (</w:t>
      </w:r>
      <w:proofErr w:type="spellStart"/>
      <w:r w:rsidRPr="00C14F35">
        <w:rPr>
          <w:i/>
          <w:iCs/>
          <w:color w:val="000000" w:themeColor="text1"/>
        </w:rPr>
        <w:t>Paediatric</w:t>
      </w:r>
      <w:proofErr w:type="spellEnd"/>
      <w:r w:rsidRPr="00C14F35">
        <w:rPr>
          <w:i/>
          <w:iCs/>
          <w:color w:val="000000" w:themeColor="text1"/>
        </w:rPr>
        <w:t xml:space="preserve"> </w:t>
      </w:r>
      <w:proofErr w:type="spellStart"/>
      <w:r w:rsidRPr="00C14F35">
        <w:rPr>
          <w:i/>
          <w:iCs/>
          <w:color w:val="000000" w:themeColor="text1"/>
        </w:rPr>
        <w:t>Investigational</w:t>
      </w:r>
      <w:proofErr w:type="spellEnd"/>
      <w:r w:rsidRPr="00C14F35">
        <w:rPr>
          <w:i/>
          <w:iCs/>
          <w:color w:val="000000" w:themeColor="text1"/>
        </w:rPr>
        <w:t xml:space="preserve"> </w:t>
      </w:r>
      <w:proofErr w:type="spellStart"/>
      <w:r w:rsidRPr="00C14F35">
        <w:rPr>
          <w:i/>
          <w:iCs/>
          <w:color w:val="000000" w:themeColor="text1"/>
        </w:rPr>
        <w:t>Plan</w:t>
      </w:r>
      <w:proofErr w:type="spellEnd"/>
      <w:r w:rsidRPr="00C14F35">
        <w:rPr>
          <w:color w:val="000000" w:themeColor="text1"/>
        </w:rPr>
        <w:t xml:space="preserve">) tuleneb turustamiskohustus (võttes arvesse nende ravimite pediaatrilisi näidustusi ning ravimvorme), siis see ei rakenduks mitte kohustusena igas liikmesriigis, vaid EL tasandil (kättesaadav vähemalt ühes liikmesriigis). </w:t>
      </w:r>
      <w:r w:rsidRPr="00C14F35">
        <w:rPr>
          <w:color w:val="000000" w:themeColor="text1"/>
        </w:rPr>
        <w:lastRenderedPageBreak/>
        <w:t>Põhjenduseks on mõnede liikmesriikide populatsiooni väiksus ja nullnõudlus. Praegusel juhul toob PIP rakendamine kaasa olukorra, kus ravimit (sageli on tegemist kõrge hinnaga ravimitega) tarnitakse kohustuse täitmiseks MLH kohapealsesse lattu ning nõudluse puudumise tõttu suunatakse säilivusaja lõppemisel hävitamisele. Tootjatel pole enamasti võimalik toota väikeses seeriamahus ravimeid. Limiteeritud ning vähese nõudlusega juhtude korral peaks jääma võimalus MLH-l tarnida PIP kohustuste täitmiseks ravimeid võõrkeelses pakendis.</w:t>
      </w:r>
    </w:p>
    <w:p w14:paraId="5585D6C9" w14:textId="77777777" w:rsidR="00E57AC1" w:rsidRPr="00C14F35" w:rsidRDefault="00E57AC1" w:rsidP="00E57AC1">
      <w:pPr>
        <w:spacing w:after="240"/>
        <w:contextualSpacing/>
        <w:jc w:val="both"/>
        <w:rPr>
          <w:color w:val="000000" w:themeColor="text1"/>
        </w:rPr>
      </w:pPr>
    </w:p>
    <w:p w14:paraId="49873B42" w14:textId="58E4AE33" w:rsidR="00E57AC1" w:rsidRPr="00C14F35" w:rsidRDefault="00FC6CCC" w:rsidP="00E57AC1">
      <w:pPr>
        <w:spacing w:after="240"/>
        <w:contextualSpacing/>
        <w:jc w:val="both"/>
        <w:rPr>
          <w:color w:val="000000" w:themeColor="text1"/>
        </w:rPr>
      </w:pPr>
      <w:r w:rsidRPr="00C14F35">
        <w:rPr>
          <w:color w:val="000000" w:themeColor="text1"/>
        </w:rPr>
        <w:t>Lisaks on oluline, et MLH-</w:t>
      </w:r>
      <w:proofErr w:type="spellStart"/>
      <w:r w:rsidRPr="00C14F35">
        <w:rPr>
          <w:color w:val="000000" w:themeColor="text1"/>
        </w:rPr>
        <w:t>le</w:t>
      </w:r>
      <w:proofErr w:type="spellEnd"/>
      <w:r w:rsidRPr="00C14F35">
        <w:rPr>
          <w:color w:val="000000" w:themeColor="text1"/>
        </w:rPr>
        <w:t xml:space="preserve"> ei sätestataks mitteturustamisest teavitamise kohustust. Kõikide </w:t>
      </w:r>
      <w:proofErr w:type="spellStart"/>
      <w:r w:rsidRPr="00C14F35">
        <w:rPr>
          <w:color w:val="000000" w:themeColor="text1"/>
        </w:rPr>
        <w:t>EL-s</w:t>
      </w:r>
      <w:proofErr w:type="spellEnd"/>
      <w:r w:rsidRPr="00C14F35">
        <w:rPr>
          <w:color w:val="000000" w:themeColor="text1"/>
        </w:rPr>
        <w:t xml:space="preserve"> ML saanud ravimite kohta mitteturustamise teatiste/turustamise edasilükkamise taotluste esitamise kohustuse sisseseadmine suurendaks bürokraatiat ja protsessi keerukust mõlemapoolselt – nii MLH-</w:t>
      </w:r>
      <w:proofErr w:type="spellStart"/>
      <w:r w:rsidRPr="00C14F35">
        <w:rPr>
          <w:color w:val="000000" w:themeColor="text1"/>
        </w:rPr>
        <w:t>le</w:t>
      </w:r>
      <w:proofErr w:type="spellEnd"/>
      <w:r w:rsidRPr="00C14F35">
        <w:rPr>
          <w:color w:val="000000" w:themeColor="text1"/>
        </w:rPr>
        <w:t xml:space="preserve"> kui ravimiametitele.</w:t>
      </w:r>
    </w:p>
    <w:p w14:paraId="440BB23A" w14:textId="0B58FB38" w:rsidR="00FC6CCC" w:rsidRPr="00C14F35" w:rsidRDefault="00FC6CCC" w:rsidP="00DB6095">
      <w:pPr>
        <w:pStyle w:val="Pealkiri3"/>
      </w:pPr>
      <w:bookmarkStart w:id="11" w:name="_Toc139536089"/>
      <w:r w:rsidRPr="00C14F35">
        <w:t>Koordineeritud seire ja raviminappuste haldamise süsteem</w:t>
      </w:r>
      <w:r w:rsidR="00455532" w:rsidRPr="00C14F35">
        <w:t xml:space="preserve"> (määruse </w:t>
      </w:r>
      <w:proofErr w:type="spellStart"/>
      <w:r w:rsidR="00455532" w:rsidRPr="00C14F35">
        <w:t>ptk</w:t>
      </w:r>
      <w:proofErr w:type="spellEnd"/>
      <w:r w:rsidR="00455532" w:rsidRPr="00C14F35">
        <w:t xml:space="preserve"> X)</w:t>
      </w:r>
      <w:bookmarkEnd w:id="11"/>
    </w:p>
    <w:p w14:paraId="5F319EE9" w14:textId="57FBB0C5" w:rsidR="00E57AC1" w:rsidRPr="00C14F35" w:rsidRDefault="00FC6CCC" w:rsidP="00E57AC1">
      <w:pPr>
        <w:spacing w:after="240"/>
        <w:contextualSpacing/>
        <w:jc w:val="both"/>
        <w:rPr>
          <w:color w:val="000000" w:themeColor="text1"/>
        </w:rPr>
      </w:pPr>
      <w:r w:rsidRPr="00C14F35">
        <w:rPr>
          <w:color w:val="000000" w:themeColor="text1"/>
        </w:rPr>
        <w:t>Toetame väljapakutud ideed EL ühtsest koordineeritud tarnehäirete seiresüsteemist. Teave tarneraskustest laaditakse üles EL IT-portaali, mis tagaks ühtlustatud ja tõhusa hoiatussüsteemi ning viiks vastavusse eri allikatest saadud andmed.</w:t>
      </w:r>
    </w:p>
    <w:p w14:paraId="049B835A" w14:textId="740A89D1" w:rsidR="00FC6CCC" w:rsidRPr="00C14F35" w:rsidRDefault="00FC6CCC" w:rsidP="00DB6095">
      <w:pPr>
        <w:pStyle w:val="Pealkiri3"/>
      </w:pPr>
      <w:bookmarkStart w:id="12" w:name="_Toc139536090"/>
      <w:r w:rsidRPr="00C14F35">
        <w:t xml:space="preserve">Varasem teavitamine ravimitootja poolt </w:t>
      </w:r>
      <w:r w:rsidR="00A05DAC" w:rsidRPr="00C14F35">
        <w:t>(määruse artikkel 116)</w:t>
      </w:r>
      <w:bookmarkEnd w:id="12"/>
    </w:p>
    <w:p w14:paraId="54018AA8" w14:textId="6DB95207" w:rsidR="00E57AC1" w:rsidRPr="00C14F35" w:rsidRDefault="00FC6CCC" w:rsidP="00E57AC1">
      <w:pPr>
        <w:spacing w:after="240"/>
        <w:contextualSpacing/>
        <w:jc w:val="both"/>
        <w:rPr>
          <w:color w:val="000000" w:themeColor="text1"/>
        </w:rPr>
      </w:pPr>
      <w:r w:rsidRPr="00C14F35">
        <w:rPr>
          <w:color w:val="000000" w:themeColor="text1"/>
        </w:rPr>
        <w:t>Komisjoni dokumendis välja pakutud 6-kuuline etteteatamine ajutisest tarnehäirest on võimalik väga vähestel juhtudel, arvestades, et enamikust praegustest tarnehäiretest ei saa isegi praeguse 2-kuulise kohustusliku perioodi jooksul ette teatada. Kohustusliku teavitamise tähtaja pikendamine 6 kuuni ei leevenda ega enneta tarnehäireid. Vastupidi, sellel on tõenäoliselt kahjulik mõju, kuna see suurendab halduskoormust potentsiaalsete tarnehäirete osas, mis ei vii tegelike tarnehäireteni.</w:t>
      </w:r>
    </w:p>
    <w:p w14:paraId="011A7993" w14:textId="48D582AF" w:rsidR="00FC6CCC" w:rsidRPr="00C14F35" w:rsidRDefault="00FC6CCC" w:rsidP="00DB6095">
      <w:pPr>
        <w:pStyle w:val="Pealkiri3"/>
      </w:pPr>
      <w:bookmarkStart w:id="13" w:name="_Toc139536091"/>
      <w:r w:rsidRPr="00C14F35">
        <w:t>Raviminappuste ennetamise ja leevendamise plaanid</w:t>
      </w:r>
      <w:r w:rsidR="00BE6BAA" w:rsidRPr="00C14F35">
        <w:t xml:space="preserve"> (määruse artikkel 117, 118)</w:t>
      </w:r>
      <w:bookmarkEnd w:id="13"/>
    </w:p>
    <w:p w14:paraId="6FB6B293" w14:textId="77777777" w:rsidR="00FC6CCC" w:rsidRPr="00C14F35" w:rsidRDefault="00FC6CCC" w:rsidP="00E57AC1">
      <w:pPr>
        <w:spacing w:after="240"/>
        <w:contextualSpacing/>
        <w:jc w:val="both"/>
        <w:rPr>
          <w:color w:val="000000" w:themeColor="text1"/>
        </w:rPr>
      </w:pPr>
      <w:r w:rsidRPr="00C14F35">
        <w:rPr>
          <w:color w:val="000000" w:themeColor="text1"/>
        </w:rPr>
        <w:t xml:space="preserve">Väikese liikmesriigi seisukohalt on meil ettepanek EL seadusandluses juurutada EL inglise keelse universaalpakendi mõiste, mida võib kasutada harvik-/väga harva kasutatavate ravimite turustamiseks, mis on võrdsustatud rahvuskeelsete pakenditega (mille </w:t>
      </w:r>
      <w:proofErr w:type="spellStart"/>
      <w:r w:rsidRPr="00C14F35">
        <w:rPr>
          <w:color w:val="000000" w:themeColor="text1"/>
        </w:rPr>
        <w:t>maaletoomiseks</w:t>
      </w:r>
      <w:proofErr w:type="spellEnd"/>
      <w:r w:rsidRPr="00C14F35">
        <w:rPr>
          <w:color w:val="000000" w:themeColor="text1"/>
        </w:rPr>
        <w:t xml:space="preserve"> ei ole vaja taotleda eraldi luba, võimalik on lülitada Eesti Tervisekassa soodusravimite nimekirja ja osaleda hangetes).</w:t>
      </w:r>
    </w:p>
    <w:p w14:paraId="1D1F750B" w14:textId="77777777" w:rsidR="009F2E1A" w:rsidRPr="00C14F35" w:rsidRDefault="009F2E1A" w:rsidP="00E57AC1">
      <w:pPr>
        <w:spacing w:after="240"/>
        <w:contextualSpacing/>
        <w:jc w:val="both"/>
        <w:rPr>
          <w:color w:val="000000" w:themeColor="text1"/>
        </w:rPr>
      </w:pPr>
    </w:p>
    <w:p w14:paraId="19626E35" w14:textId="676701AC" w:rsidR="00E57AC1" w:rsidRPr="00C14F35" w:rsidRDefault="00FC6CCC" w:rsidP="00E57AC1">
      <w:pPr>
        <w:spacing w:after="240"/>
        <w:contextualSpacing/>
        <w:jc w:val="both"/>
        <w:rPr>
          <w:color w:val="000000" w:themeColor="text1"/>
        </w:rPr>
      </w:pPr>
      <w:r w:rsidRPr="00C14F35">
        <w:rPr>
          <w:color w:val="000000" w:themeColor="text1"/>
        </w:rPr>
        <w:t>Toetame ettepanekut luua raviminappuste ennetamise ja leevendamise plaanid kriitiliste ravimite osas, mille kättesaadavus on vajalik rahvatervise seisukohalt. Raviminappuste ennetamise ja leevendamise plaanid võiks välja töötada ühises vormingus ja riskipõhiselt, arvestades varasemaid tarnehäireid ja nende tasandit (hulgimüük/ apteegivõrgustik/patsiendid). Plaane peaks säilitama MLH juures, need oleksid ravimiametitele kättesaadavad nõudmisel ning arvestades nendes sisalduvat tundlikku teavet, tuleb neid hoida konfidentsiaalsena.</w:t>
      </w:r>
    </w:p>
    <w:p w14:paraId="0BE3B124" w14:textId="06994339" w:rsidR="00FC6CCC" w:rsidRPr="00C14F35" w:rsidRDefault="00FC6CCC" w:rsidP="00DB6095">
      <w:pPr>
        <w:pStyle w:val="Pealkiri3"/>
      </w:pPr>
      <w:bookmarkStart w:id="14" w:name="_Toc139536092"/>
      <w:r w:rsidRPr="00C14F35">
        <w:t>EL nimekiri kriitilistest ravimitest</w:t>
      </w:r>
      <w:r w:rsidR="000C1BD8" w:rsidRPr="00C14F35">
        <w:t xml:space="preserve"> (määruse artikkel 131)</w:t>
      </w:r>
      <w:bookmarkEnd w:id="14"/>
    </w:p>
    <w:p w14:paraId="390F6661" w14:textId="77777777" w:rsidR="00FC6CCC" w:rsidRPr="00C14F35" w:rsidRDefault="00FC6CCC" w:rsidP="00E57AC1">
      <w:pPr>
        <w:spacing w:after="240"/>
        <w:contextualSpacing/>
        <w:jc w:val="both"/>
        <w:rPr>
          <w:color w:val="000000" w:themeColor="text1"/>
        </w:rPr>
      </w:pPr>
      <w:r w:rsidRPr="00C14F35">
        <w:rPr>
          <w:color w:val="000000" w:themeColor="text1"/>
        </w:rPr>
        <w:t xml:space="preserve">Toetame EL nimekirja loomist kriitilistest ravimitest. EL liikmesriikides võiks olla õigus erisusteks tulenevalt konkreetse riigi rahvatervise situatsioonist (liikmesriikide ravimiametitel võib olla õigus nimekirjas olev ravim inaktiivseks muuta). </w:t>
      </w:r>
    </w:p>
    <w:p w14:paraId="738DBAE4" w14:textId="77777777" w:rsidR="009F2E1A" w:rsidRPr="00C14F35" w:rsidRDefault="009F2E1A" w:rsidP="00E57AC1">
      <w:pPr>
        <w:spacing w:after="240"/>
        <w:contextualSpacing/>
        <w:jc w:val="both"/>
        <w:rPr>
          <w:color w:val="000000" w:themeColor="text1"/>
        </w:rPr>
      </w:pPr>
    </w:p>
    <w:p w14:paraId="34137BE5" w14:textId="20931788" w:rsidR="003676B7" w:rsidRPr="00C14F35" w:rsidRDefault="003676B7" w:rsidP="00E57AC1">
      <w:pPr>
        <w:spacing w:after="240"/>
        <w:contextualSpacing/>
        <w:jc w:val="both"/>
        <w:rPr>
          <w:color w:val="000000" w:themeColor="text1"/>
        </w:rPr>
      </w:pPr>
      <w:r w:rsidRPr="00C14F35">
        <w:rPr>
          <w:color w:val="000000" w:themeColor="text1"/>
        </w:rPr>
        <w:lastRenderedPageBreak/>
        <w:t xml:space="preserve">Siiski juhime ka tähelepanu, et siseriiklikud kriitiliste ravimite nimekirjad ei tekitaks liigset segadust võrreldes loodavate EL-i üleste nimekirjadega. Samuti ei tohiks planeeritavate või juba loodud laovarusid asjatult dubleerima hakata, mis võib suurendada laovarusid rohkem kui selle järgi võib olla tarvidus ja samuti võib see tuua kaasa kunstlikult tekitatud tarneprobleemid – </w:t>
      </w:r>
      <w:proofErr w:type="spellStart"/>
      <w:r w:rsidRPr="00C14F35">
        <w:rPr>
          <w:color w:val="000000" w:themeColor="text1"/>
        </w:rPr>
        <w:t>topeltvarud</w:t>
      </w:r>
      <w:proofErr w:type="spellEnd"/>
      <w:r w:rsidRPr="00C14F35">
        <w:rPr>
          <w:color w:val="000000" w:themeColor="text1"/>
        </w:rPr>
        <w:t>.</w:t>
      </w:r>
    </w:p>
    <w:p w14:paraId="15E497F7" w14:textId="77777777" w:rsidR="00E57AC1" w:rsidRPr="00C14F35" w:rsidRDefault="00E57AC1" w:rsidP="00E57AC1">
      <w:pPr>
        <w:spacing w:after="240"/>
        <w:contextualSpacing/>
        <w:jc w:val="both"/>
        <w:rPr>
          <w:color w:val="000000" w:themeColor="text1"/>
        </w:rPr>
      </w:pPr>
    </w:p>
    <w:p w14:paraId="48DDAC2A" w14:textId="7B2DC936" w:rsidR="00FC6CCC" w:rsidRPr="00C14F35" w:rsidRDefault="00FC6CCC" w:rsidP="00E57AC1">
      <w:pPr>
        <w:pStyle w:val="Pealkiri2"/>
        <w:contextualSpacing/>
        <w:rPr>
          <w:rFonts w:ascii="Calibri" w:hAnsi="Calibri" w:cs="Calibri"/>
        </w:rPr>
      </w:pPr>
      <w:bookmarkStart w:id="15" w:name="_Toc139536093"/>
      <w:r w:rsidRPr="00C14F35">
        <w:rPr>
          <w:rFonts w:ascii="Calibri" w:hAnsi="Calibri" w:cs="Calibri"/>
        </w:rPr>
        <w:t>Euroopa ravimisektori konkurentsivõime</w:t>
      </w:r>
      <w:bookmarkEnd w:id="15"/>
      <w:r w:rsidRPr="00C14F35">
        <w:rPr>
          <w:rFonts w:ascii="Calibri" w:hAnsi="Calibri" w:cs="Calibri"/>
        </w:rPr>
        <w:t xml:space="preserve"> </w:t>
      </w:r>
    </w:p>
    <w:p w14:paraId="4FEE952E" w14:textId="77777777" w:rsidR="00DB6095" w:rsidRPr="00C14F35" w:rsidRDefault="00DB6095" w:rsidP="00DB6095">
      <w:pPr>
        <w:pStyle w:val="Loendilik"/>
        <w:keepNext/>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40" w:line="259" w:lineRule="auto"/>
        <w:contextualSpacing/>
        <w:jc w:val="both"/>
        <w:outlineLvl w:val="2"/>
        <w:rPr>
          <w:rFonts w:eastAsiaTheme="minorHAnsi"/>
          <w:b/>
          <w:vanish/>
          <w:color w:val="auto"/>
          <w:kern w:val="2"/>
          <w:bdr w:val="none" w:sz="0" w:space="0" w:color="auto"/>
          <w:lang w:val="et-EE" w:eastAsia="en-US"/>
          <w14:ligatures w14:val="standardContextual"/>
        </w:rPr>
      </w:pPr>
      <w:bookmarkStart w:id="16" w:name="_Toc139275590"/>
      <w:bookmarkStart w:id="17" w:name="_Toc139277164"/>
      <w:bookmarkStart w:id="18" w:name="_Toc139277223"/>
      <w:bookmarkStart w:id="19" w:name="_Toc139277846"/>
      <w:bookmarkStart w:id="20" w:name="_Toc139277907"/>
      <w:bookmarkStart w:id="21" w:name="_Toc139359902"/>
      <w:bookmarkStart w:id="22" w:name="_Toc139360906"/>
      <w:bookmarkStart w:id="23" w:name="_Toc139536094"/>
      <w:bookmarkEnd w:id="16"/>
      <w:bookmarkEnd w:id="17"/>
      <w:bookmarkEnd w:id="18"/>
      <w:bookmarkEnd w:id="19"/>
      <w:bookmarkEnd w:id="20"/>
      <w:bookmarkEnd w:id="21"/>
      <w:bookmarkEnd w:id="22"/>
      <w:bookmarkEnd w:id="23"/>
    </w:p>
    <w:p w14:paraId="7B22999A" w14:textId="01590A58" w:rsidR="00FC6CCC" w:rsidRPr="00C14F35" w:rsidRDefault="00FC6CCC" w:rsidP="00DB6095">
      <w:pPr>
        <w:pStyle w:val="Pealkiri3"/>
      </w:pPr>
      <w:bookmarkStart w:id="24" w:name="_Toc139536095"/>
      <w:r w:rsidRPr="00C14F35">
        <w:t>Müügilubade menetlustähtaegade lühendamine</w:t>
      </w:r>
      <w:r w:rsidR="00CF462D" w:rsidRPr="00C14F35">
        <w:t xml:space="preserve"> (direktiivi artikkel 30, määruses art 6.6)</w:t>
      </w:r>
      <w:bookmarkEnd w:id="24"/>
    </w:p>
    <w:p w14:paraId="073F9FB6" w14:textId="798CB5EC" w:rsidR="00E57AC1" w:rsidRPr="00C14F35" w:rsidRDefault="00FC6CCC" w:rsidP="00E57AC1">
      <w:pPr>
        <w:spacing w:after="240"/>
        <w:contextualSpacing/>
        <w:jc w:val="both"/>
        <w:rPr>
          <w:color w:val="000000" w:themeColor="text1"/>
        </w:rPr>
      </w:pPr>
      <w:r w:rsidRPr="00C14F35">
        <w:rPr>
          <w:color w:val="000000" w:themeColor="text1"/>
        </w:rPr>
        <w:t xml:space="preserve">Toetame ideed menetlustähtaegade lühendamise kohta (sh ekspertiisidel põhinevate otsuste tegemise kiiremaks muutmine, ML standardtaotluste hindamisaja lühendamine 210 päevalt 180 päevale ning Euroopa Komisjoni otsustusaja lühendamine 67 päevalt 46 päevale). Lisaks, peame vajalikuks, et </w:t>
      </w:r>
      <w:proofErr w:type="spellStart"/>
      <w:r w:rsidRPr="00C14F35">
        <w:rPr>
          <w:color w:val="000000" w:themeColor="text1"/>
        </w:rPr>
        <w:t>Priority</w:t>
      </w:r>
      <w:proofErr w:type="spellEnd"/>
      <w:r w:rsidRPr="00C14F35">
        <w:rPr>
          <w:color w:val="000000" w:themeColor="text1"/>
        </w:rPr>
        <w:t xml:space="preserve"> </w:t>
      </w:r>
      <w:proofErr w:type="spellStart"/>
      <w:r w:rsidRPr="00C14F35">
        <w:rPr>
          <w:color w:val="000000" w:themeColor="text1"/>
        </w:rPr>
        <w:t>Medicines</w:t>
      </w:r>
      <w:proofErr w:type="spellEnd"/>
      <w:r w:rsidRPr="00C14F35">
        <w:rPr>
          <w:color w:val="000000" w:themeColor="text1"/>
        </w:rPr>
        <w:t xml:space="preserve"> </w:t>
      </w:r>
      <w:proofErr w:type="spellStart"/>
      <w:r w:rsidRPr="00C14F35">
        <w:rPr>
          <w:color w:val="000000" w:themeColor="text1"/>
        </w:rPr>
        <w:t>Review’d</w:t>
      </w:r>
      <w:proofErr w:type="spellEnd"/>
      <w:r w:rsidRPr="00C14F35">
        <w:rPr>
          <w:color w:val="000000" w:themeColor="text1"/>
        </w:rPr>
        <w:t xml:space="preserve"> (PRIME) ja kiirendatud läbivaatust (</w:t>
      </w:r>
      <w:proofErr w:type="spellStart"/>
      <w:r w:rsidRPr="00C14F35">
        <w:rPr>
          <w:color w:val="000000" w:themeColor="text1"/>
        </w:rPr>
        <w:t>Accelerated</w:t>
      </w:r>
      <w:proofErr w:type="spellEnd"/>
      <w:r w:rsidRPr="00C14F35">
        <w:rPr>
          <w:color w:val="000000" w:themeColor="text1"/>
        </w:rPr>
        <w:t xml:space="preserve"> </w:t>
      </w:r>
      <w:proofErr w:type="spellStart"/>
      <w:r w:rsidRPr="00C14F35">
        <w:rPr>
          <w:color w:val="000000" w:themeColor="text1"/>
        </w:rPr>
        <w:t>Assessment</w:t>
      </w:r>
      <w:proofErr w:type="spellEnd"/>
      <w:r w:rsidRPr="00C14F35">
        <w:rPr>
          <w:color w:val="000000" w:themeColor="text1"/>
        </w:rPr>
        <w:t>) saaks kasutada ka ML laiendamiseks ja ML-</w:t>
      </w:r>
      <w:proofErr w:type="spellStart"/>
      <w:r w:rsidRPr="00C14F35">
        <w:rPr>
          <w:color w:val="000000" w:themeColor="text1"/>
        </w:rPr>
        <w:t>le</w:t>
      </w:r>
      <w:proofErr w:type="spellEnd"/>
      <w:r w:rsidRPr="00C14F35">
        <w:rPr>
          <w:color w:val="000000" w:themeColor="text1"/>
        </w:rPr>
        <w:t xml:space="preserve"> uute näidustuste lisamiseks.</w:t>
      </w:r>
    </w:p>
    <w:p w14:paraId="301A2196" w14:textId="5DC2CB16" w:rsidR="00FC6CCC" w:rsidRPr="00C14F35" w:rsidRDefault="00FC6CCC" w:rsidP="00DB6095">
      <w:pPr>
        <w:pStyle w:val="Pealkiri3"/>
      </w:pPr>
      <w:bookmarkStart w:id="25" w:name="_Toc139536096"/>
      <w:r w:rsidRPr="00C14F35">
        <w:t>Õigusraamistiku lihtsustamine</w:t>
      </w:r>
      <w:bookmarkEnd w:id="25"/>
      <w:r w:rsidR="00CF462D" w:rsidRPr="00C14F35">
        <w:t xml:space="preserve"> </w:t>
      </w:r>
    </w:p>
    <w:p w14:paraId="54B0AB53" w14:textId="1E9608CC" w:rsidR="00E57AC1" w:rsidRPr="00C14F35" w:rsidRDefault="00FC6CCC" w:rsidP="00E57AC1">
      <w:pPr>
        <w:spacing w:after="240"/>
        <w:contextualSpacing/>
        <w:jc w:val="both"/>
        <w:rPr>
          <w:color w:val="000000" w:themeColor="text1"/>
        </w:rPr>
      </w:pPr>
      <w:r w:rsidRPr="00C14F35">
        <w:rPr>
          <w:color w:val="000000" w:themeColor="text1"/>
        </w:rPr>
        <w:t>Elektroonse tooteinfo õigusraamistik: RTL üks töövaldkondi on elektroonse pakendiinfolehe (ePIL) ja e-tooteinfo (</w:t>
      </w:r>
      <w:proofErr w:type="spellStart"/>
      <w:r w:rsidRPr="00C14F35">
        <w:rPr>
          <w:color w:val="000000" w:themeColor="text1"/>
        </w:rPr>
        <w:t>ePI</w:t>
      </w:r>
      <w:proofErr w:type="spellEnd"/>
      <w:r w:rsidRPr="00C14F35">
        <w:rPr>
          <w:color w:val="000000" w:themeColor="text1"/>
        </w:rPr>
        <w:t xml:space="preserve">) rakendamise võimaluste analüüs. RTL 2023 1. kv. teostatud süva-analüüs näitab, et Eestis on võimalused ja valmidus alustada üleminekut </w:t>
      </w:r>
      <w:proofErr w:type="spellStart"/>
      <w:r w:rsidRPr="00C14F35">
        <w:rPr>
          <w:color w:val="000000" w:themeColor="text1"/>
        </w:rPr>
        <w:t>ePIL-ile</w:t>
      </w:r>
      <w:proofErr w:type="spellEnd"/>
      <w:r w:rsidRPr="00C14F35">
        <w:rPr>
          <w:color w:val="000000" w:themeColor="text1"/>
        </w:rPr>
        <w:t xml:space="preserve"> direktiivi jõustumise hetkel. Hetkel direktiivi mustandis välja pakutud tähtaeg </w:t>
      </w:r>
      <w:proofErr w:type="spellStart"/>
      <w:r w:rsidRPr="00C14F35">
        <w:rPr>
          <w:color w:val="000000" w:themeColor="text1"/>
        </w:rPr>
        <w:t>ePI</w:t>
      </w:r>
      <w:proofErr w:type="spellEnd"/>
      <w:r w:rsidRPr="00C14F35">
        <w:rPr>
          <w:color w:val="000000" w:themeColor="text1"/>
        </w:rPr>
        <w:t xml:space="preserve"> ametlikuks alguseks (5 aastat pärast 18 kuud pärast direktiivi jõustumise kuupäeva) ei ole Eesti jaoks piisavalt ambitsioonikas (Eesti ravimipoliitika aastani 2030, Ravimiameti arengustrateegia, nn digitiiger). </w:t>
      </w:r>
      <w:r w:rsidR="009F2E1A" w:rsidRPr="00C14F35">
        <w:rPr>
          <w:color w:val="000000" w:themeColor="text1"/>
        </w:rPr>
        <w:t>Järkjärguline</w:t>
      </w:r>
      <w:r w:rsidRPr="00C14F35">
        <w:rPr>
          <w:color w:val="000000" w:themeColor="text1"/>
        </w:rPr>
        <w:t xml:space="preserve"> paber-pakendiinfolehest (paber-PIL) loobumise tähtaeg peaks olema liikmesriigi tasandil otsustatav (kaasnev MLH protseduuride ja kvaliteedisüsteemide kohandamine, tootmise ümberseadistamine).</w:t>
      </w:r>
    </w:p>
    <w:p w14:paraId="63C675DC" w14:textId="30758F5E" w:rsidR="00FC6CCC" w:rsidRPr="00C14F35" w:rsidRDefault="00FC6CCC" w:rsidP="00DB6095">
      <w:pPr>
        <w:pStyle w:val="Pealkiri3"/>
      </w:pPr>
      <w:bookmarkStart w:id="26" w:name="_Toc139536097"/>
      <w:r w:rsidRPr="00C14F35">
        <w:t>EMA struktuuri muudatused</w:t>
      </w:r>
      <w:r w:rsidR="00CF462D" w:rsidRPr="00C14F35">
        <w:t xml:space="preserve"> (määruse </w:t>
      </w:r>
      <w:proofErr w:type="spellStart"/>
      <w:r w:rsidR="00CF462D" w:rsidRPr="00C14F35">
        <w:t>ptk</w:t>
      </w:r>
      <w:proofErr w:type="spellEnd"/>
      <w:r w:rsidR="00CF462D" w:rsidRPr="00C14F35">
        <w:t xml:space="preserve"> XI)</w:t>
      </w:r>
      <w:bookmarkEnd w:id="26"/>
    </w:p>
    <w:p w14:paraId="4FA45CF3" w14:textId="77777777" w:rsidR="00FC6CCC" w:rsidRPr="00C14F35" w:rsidRDefault="00FC6CCC" w:rsidP="00E57AC1">
      <w:pPr>
        <w:spacing w:after="240"/>
        <w:contextualSpacing/>
        <w:jc w:val="both"/>
        <w:rPr>
          <w:color w:val="000000" w:themeColor="text1"/>
        </w:rPr>
      </w:pPr>
      <w:r w:rsidRPr="00C14F35">
        <w:rPr>
          <w:color w:val="000000" w:themeColor="text1"/>
        </w:rPr>
        <w:t>Tervitame EMA struktuuri lihtsustusi. Peame oluliseks, et EL väikeriigile omaseid aspekte arvestataks võrdselt EL suuremate riikidega. Peame oluliseks, et Eesti Ravimiamet oleks proportsionaalselt esindatud erinevates EMA struktuurides võrdselt EL suurriikidega.</w:t>
      </w:r>
    </w:p>
    <w:p w14:paraId="41242ACB" w14:textId="77777777" w:rsidR="00E57AC1" w:rsidRPr="00C14F35" w:rsidRDefault="00E57AC1" w:rsidP="00E57AC1">
      <w:pPr>
        <w:spacing w:after="240"/>
        <w:contextualSpacing/>
        <w:jc w:val="both"/>
        <w:rPr>
          <w:color w:val="000000" w:themeColor="text1"/>
        </w:rPr>
      </w:pPr>
    </w:p>
    <w:p w14:paraId="06F8EE19" w14:textId="204155BA" w:rsidR="004430CC" w:rsidRPr="00C14F35" w:rsidRDefault="00FC6CCC" w:rsidP="00DB6095">
      <w:pPr>
        <w:pStyle w:val="Pealkiri3"/>
      </w:pPr>
      <w:bookmarkStart w:id="27" w:name="_Toc139536098"/>
      <w:r w:rsidRPr="00C14F35">
        <w:t xml:space="preserve">Testkeskkonnad uutele tehnoloogiatele </w:t>
      </w:r>
      <w:r w:rsidR="00AF64E4" w:rsidRPr="00C14F35">
        <w:t>(</w:t>
      </w:r>
      <w:proofErr w:type="spellStart"/>
      <w:r w:rsidR="00AF64E4" w:rsidRPr="00C14F35">
        <w:t>sandboxes</w:t>
      </w:r>
      <w:proofErr w:type="spellEnd"/>
      <w:r w:rsidR="00AF64E4" w:rsidRPr="00C14F35">
        <w:t xml:space="preserve">, </w:t>
      </w:r>
      <w:proofErr w:type="spellStart"/>
      <w:r w:rsidR="00AF64E4" w:rsidRPr="00C14F35">
        <w:t>adapted</w:t>
      </w:r>
      <w:proofErr w:type="spellEnd"/>
      <w:r w:rsidR="00AF64E4" w:rsidRPr="00C14F35">
        <w:t xml:space="preserve"> </w:t>
      </w:r>
      <w:proofErr w:type="spellStart"/>
      <w:r w:rsidR="00AF64E4" w:rsidRPr="00C14F35">
        <w:t>frameworks</w:t>
      </w:r>
      <w:proofErr w:type="spellEnd"/>
      <w:r w:rsidR="00AF64E4" w:rsidRPr="00C14F35">
        <w:t xml:space="preserve">, PRIME) (määruse </w:t>
      </w:r>
      <w:proofErr w:type="spellStart"/>
      <w:r w:rsidR="00AF64E4" w:rsidRPr="00C14F35">
        <w:t>ptk</w:t>
      </w:r>
      <w:proofErr w:type="spellEnd"/>
      <w:r w:rsidR="00AF64E4" w:rsidRPr="00C14F35">
        <w:t xml:space="preserve"> IX, direktiivi artikkel 28, määruse </w:t>
      </w:r>
      <w:proofErr w:type="spellStart"/>
      <w:r w:rsidR="00AF64E4" w:rsidRPr="00C14F35">
        <w:t>ptk</w:t>
      </w:r>
      <w:proofErr w:type="spellEnd"/>
      <w:r w:rsidR="00AF64E4" w:rsidRPr="00C14F35">
        <w:t xml:space="preserve"> V)</w:t>
      </w:r>
      <w:bookmarkEnd w:id="27"/>
    </w:p>
    <w:p w14:paraId="52D8C01C" w14:textId="4942D1DE" w:rsidR="00FC6CCC" w:rsidRPr="00C14F35" w:rsidRDefault="00721A4D" w:rsidP="00E57AC1">
      <w:pPr>
        <w:contextualSpacing/>
        <w:jc w:val="both"/>
        <w:rPr>
          <w:color w:val="auto"/>
          <w:lang w:eastAsia="en-US"/>
        </w:rPr>
      </w:pPr>
      <w:r w:rsidRPr="00C14F35">
        <w:rPr>
          <w:color w:val="auto"/>
          <w:lang w:eastAsia="en-US"/>
        </w:rPr>
        <w:t xml:space="preserve">RTL on </w:t>
      </w:r>
      <w:r w:rsidR="00FC6CCC" w:rsidRPr="00C14F35">
        <w:rPr>
          <w:bCs/>
          <w:color w:val="auto"/>
        </w:rPr>
        <w:t>EFPIA seisukohaga nõus</w:t>
      </w:r>
      <w:r w:rsidR="00FC6CCC" w:rsidRPr="00C14F35">
        <w:rPr>
          <w:color w:val="auto"/>
        </w:rPr>
        <w:t xml:space="preserve"> ja rõhutaks</w:t>
      </w:r>
      <w:r w:rsidRPr="00C14F35">
        <w:rPr>
          <w:color w:val="auto"/>
        </w:rPr>
        <w:t xml:space="preserve"> eriti alljärgnevat</w:t>
      </w:r>
      <w:r w:rsidR="00FC6CCC" w:rsidRPr="00C14F35">
        <w:rPr>
          <w:color w:val="auto"/>
        </w:rPr>
        <w:t>:</w:t>
      </w:r>
    </w:p>
    <w:p w14:paraId="604ECD0F" w14:textId="77777777" w:rsidR="00FC6CCC" w:rsidRPr="00C14F35" w:rsidRDefault="00FC6CCC" w:rsidP="00E57AC1">
      <w:pPr>
        <w:pStyle w:val="Loendilik"/>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76" w:lineRule="auto"/>
        <w:ind w:left="360"/>
        <w:contextualSpacing/>
        <w:jc w:val="both"/>
        <w:rPr>
          <w:bCs/>
          <w:i/>
          <w:iCs/>
          <w:color w:val="auto"/>
          <w:lang w:val="et-EE"/>
        </w:rPr>
      </w:pPr>
      <w:r w:rsidRPr="00C14F35">
        <w:rPr>
          <w:i/>
          <w:iCs/>
          <w:color w:val="auto"/>
          <w:lang w:val="et-EE"/>
        </w:rPr>
        <w:t xml:space="preserve">The </w:t>
      </w:r>
      <w:proofErr w:type="spellStart"/>
      <w:r w:rsidRPr="00C14F35">
        <w:rPr>
          <w:i/>
          <w:iCs/>
          <w:color w:val="auto"/>
          <w:lang w:val="et-EE"/>
        </w:rPr>
        <w:t>new</w:t>
      </w:r>
      <w:proofErr w:type="spellEnd"/>
      <w:r w:rsidRPr="00C14F35">
        <w:rPr>
          <w:i/>
          <w:iCs/>
          <w:color w:val="auto"/>
          <w:lang w:val="et-EE"/>
        </w:rPr>
        <w:t xml:space="preserve"> </w:t>
      </w:r>
      <w:proofErr w:type="spellStart"/>
      <w:r w:rsidRPr="00C14F35">
        <w:rPr>
          <w:i/>
          <w:iCs/>
          <w:color w:val="auto"/>
          <w:lang w:val="et-EE"/>
        </w:rPr>
        <w:t>provision</w:t>
      </w:r>
      <w:proofErr w:type="spellEnd"/>
      <w:r w:rsidRPr="00C14F35">
        <w:rPr>
          <w:i/>
          <w:iCs/>
          <w:color w:val="auto"/>
          <w:lang w:val="et-EE"/>
        </w:rPr>
        <w:t xml:space="preserve"> </w:t>
      </w:r>
      <w:proofErr w:type="spellStart"/>
      <w:r w:rsidRPr="00C14F35">
        <w:rPr>
          <w:i/>
          <w:iCs/>
          <w:color w:val="auto"/>
          <w:lang w:val="et-EE"/>
        </w:rPr>
        <w:t>offering</w:t>
      </w:r>
      <w:proofErr w:type="spellEnd"/>
      <w:r w:rsidRPr="00C14F35">
        <w:rPr>
          <w:i/>
          <w:iCs/>
          <w:color w:val="auto"/>
          <w:lang w:val="et-EE"/>
        </w:rPr>
        <w:t xml:space="preserve"> </w:t>
      </w:r>
      <w:proofErr w:type="spellStart"/>
      <w:r w:rsidRPr="00C14F35">
        <w:rPr>
          <w:i/>
          <w:iCs/>
          <w:color w:val="auto"/>
          <w:lang w:val="et-EE"/>
        </w:rPr>
        <w:t>integrated</w:t>
      </w:r>
      <w:proofErr w:type="spellEnd"/>
      <w:r w:rsidRPr="00C14F35">
        <w:rPr>
          <w:i/>
          <w:iCs/>
          <w:color w:val="auto"/>
          <w:lang w:val="et-EE"/>
        </w:rPr>
        <w:t xml:space="preserve"> </w:t>
      </w:r>
      <w:proofErr w:type="spellStart"/>
      <w:r w:rsidRPr="00C14F35">
        <w:rPr>
          <w:i/>
          <w:iCs/>
          <w:color w:val="auto"/>
          <w:lang w:val="et-EE"/>
        </w:rPr>
        <w:t>scientific</w:t>
      </w:r>
      <w:proofErr w:type="spellEnd"/>
      <w:r w:rsidRPr="00C14F35">
        <w:rPr>
          <w:i/>
          <w:iCs/>
          <w:color w:val="auto"/>
          <w:lang w:val="et-EE"/>
        </w:rPr>
        <w:t xml:space="preserve"> </w:t>
      </w:r>
      <w:proofErr w:type="spellStart"/>
      <w:r w:rsidRPr="00C14F35">
        <w:rPr>
          <w:i/>
          <w:iCs/>
          <w:color w:val="auto"/>
          <w:lang w:val="et-EE"/>
        </w:rPr>
        <w:t>advice</w:t>
      </w:r>
      <w:proofErr w:type="spellEnd"/>
      <w:r w:rsidRPr="00C14F35">
        <w:rPr>
          <w:i/>
          <w:iCs/>
          <w:color w:val="auto"/>
          <w:lang w:val="et-EE"/>
        </w:rPr>
        <w:t xml:space="preserve"> </w:t>
      </w:r>
      <w:proofErr w:type="spellStart"/>
      <w:r w:rsidRPr="00C14F35">
        <w:rPr>
          <w:i/>
          <w:iCs/>
          <w:color w:val="auto"/>
          <w:lang w:val="et-EE"/>
        </w:rPr>
        <w:t>support</w:t>
      </w:r>
      <w:proofErr w:type="spellEnd"/>
      <w:r w:rsidRPr="00C14F35">
        <w:rPr>
          <w:i/>
          <w:iCs/>
          <w:color w:val="auto"/>
          <w:lang w:val="et-EE"/>
        </w:rPr>
        <w:t xml:space="preserve"> and </w:t>
      </w:r>
      <w:proofErr w:type="spellStart"/>
      <w:r w:rsidRPr="00C14F35">
        <w:rPr>
          <w:i/>
          <w:iCs/>
          <w:color w:val="auto"/>
          <w:lang w:val="et-EE"/>
        </w:rPr>
        <w:t>assessment</w:t>
      </w:r>
      <w:proofErr w:type="spellEnd"/>
      <w:r w:rsidRPr="00C14F35">
        <w:rPr>
          <w:i/>
          <w:iCs/>
          <w:color w:val="auto"/>
          <w:lang w:val="et-EE"/>
        </w:rPr>
        <w:t xml:space="preserve"> </w:t>
      </w:r>
      <w:proofErr w:type="spellStart"/>
      <w:r w:rsidRPr="00C14F35">
        <w:rPr>
          <w:i/>
          <w:iCs/>
          <w:color w:val="auto"/>
          <w:lang w:val="et-EE"/>
        </w:rPr>
        <w:t>pathway</w:t>
      </w:r>
      <w:proofErr w:type="spellEnd"/>
      <w:r w:rsidRPr="00C14F35">
        <w:rPr>
          <w:i/>
          <w:iCs/>
          <w:color w:val="auto"/>
          <w:lang w:val="et-EE"/>
        </w:rPr>
        <w:t xml:space="preserve"> </w:t>
      </w:r>
      <w:proofErr w:type="spellStart"/>
      <w:r w:rsidRPr="00C14F35">
        <w:rPr>
          <w:i/>
          <w:iCs/>
          <w:color w:val="auto"/>
          <w:lang w:val="et-EE"/>
        </w:rPr>
        <w:t>for</w:t>
      </w:r>
      <w:proofErr w:type="spellEnd"/>
      <w:r w:rsidRPr="00C14F35">
        <w:rPr>
          <w:i/>
          <w:iCs/>
          <w:color w:val="auto"/>
          <w:lang w:val="et-EE"/>
        </w:rPr>
        <w:t xml:space="preserve"> </w:t>
      </w:r>
      <w:proofErr w:type="spellStart"/>
      <w:r w:rsidRPr="00C14F35">
        <w:rPr>
          <w:i/>
          <w:iCs/>
          <w:color w:val="auto"/>
          <w:lang w:val="et-EE"/>
        </w:rPr>
        <w:t>medical</w:t>
      </w:r>
      <w:proofErr w:type="spellEnd"/>
      <w:r w:rsidRPr="00C14F35">
        <w:rPr>
          <w:i/>
          <w:iCs/>
          <w:color w:val="auto"/>
          <w:lang w:val="et-EE"/>
        </w:rPr>
        <w:t xml:space="preserve"> </w:t>
      </w:r>
      <w:proofErr w:type="spellStart"/>
      <w:r w:rsidRPr="00C14F35">
        <w:rPr>
          <w:i/>
          <w:iCs/>
          <w:color w:val="auto"/>
          <w:lang w:val="et-EE"/>
        </w:rPr>
        <w:t>devices</w:t>
      </w:r>
      <w:proofErr w:type="spellEnd"/>
      <w:r w:rsidRPr="00C14F35">
        <w:rPr>
          <w:i/>
          <w:iCs/>
          <w:color w:val="auto"/>
          <w:lang w:val="et-EE"/>
        </w:rPr>
        <w:t xml:space="preserve"> </w:t>
      </w:r>
      <w:proofErr w:type="spellStart"/>
      <w:r w:rsidRPr="00C14F35">
        <w:rPr>
          <w:i/>
          <w:iCs/>
          <w:color w:val="auto"/>
          <w:lang w:val="et-EE"/>
        </w:rPr>
        <w:t>used</w:t>
      </w:r>
      <w:proofErr w:type="spellEnd"/>
      <w:r w:rsidRPr="00C14F35">
        <w:rPr>
          <w:i/>
          <w:iCs/>
          <w:color w:val="auto"/>
          <w:lang w:val="et-EE"/>
        </w:rPr>
        <w:t xml:space="preserve"> in </w:t>
      </w:r>
      <w:proofErr w:type="spellStart"/>
      <w:r w:rsidRPr="00C14F35">
        <w:rPr>
          <w:i/>
          <w:iCs/>
          <w:color w:val="auto"/>
          <w:lang w:val="et-EE"/>
        </w:rPr>
        <w:t>conjunction</w:t>
      </w:r>
      <w:proofErr w:type="spellEnd"/>
      <w:r w:rsidRPr="00C14F35">
        <w:rPr>
          <w:i/>
          <w:iCs/>
          <w:color w:val="auto"/>
          <w:lang w:val="et-EE"/>
        </w:rPr>
        <w:t xml:space="preserve"> </w:t>
      </w:r>
      <w:proofErr w:type="spellStart"/>
      <w:r w:rsidRPr="00C14F35">
        <w:rPr>
          <w:i/>
          <w:iCs/>
          <w:color w:val="auto"/>
          <w:lang w:val="et-EE"/>
        </w:rPr>
        <w:t>with</w:t>
      </w:r>
      <w:proofErr w:type="spellEnd"/>
      <w:r w:rsidRPr="00C14F35">
        <w:rPr>
          <w:i/>
          <w:iCs/>
          <w:color w:val="auto"/>
          <w:lang w:val="et-EE"/>
        </w:rPr>
        <w:t xml:space="preserve"> </w:t>
      </w:r>
      <w:proofErr w:type="spellStart"/>
      <w:r w:rsidRPr="00C14F35">
        <w:rPr>
          <w:i/>
          <w:iCs/>
          <w:color w:val="auto"/>
          <w:lang w:val="et-EE"/>
        </w:rPr>
        <w:t>medicinal</w:t>
      </w:r>
      <w:proofErr w:type="spellEnd"/>
      <w:r w:rsidRPr="00C14F35">
        <w:rPr>
          <w:i/>
          <w:iCs/>
          <w:color w:val="auto"/>
          <w:lang w:val="et-EE"/>
        </w:rPr>
        <w:t xml:space="preserve"> </w:t>
      </w:r>
      <w:proofErr w:type="spellStart"/>
      <w:r w:rsidRPr="00C14F35">
        <w:rPr>
          <w:i/>
          <w:iCs/>
          <w:color w:val="auto"/>
          <w:lang w:val="et-EE"/>
        </w:rPr>
        <w:t>products</w:t>
      </w:r>
      <w:proofErr w:type="spellEnd"/>
      <w:r w:rsidRPr="00C14F35">
        <w:rPr>
          <w:i/>
          <w:iCs/>
          <w:color w:val="auto"/>
          <w:lang w:val="et-EE"/>
        </w:rPr>
        <w:t xml:space="preserve"> sulud </w:t>
      </w:r>
      <w:proofErr w:type="spellStart"/>
      <w:r w:rsidRPr="00C14F35">
        <w:rPr>
          <w:i/>
          <w:iCs/>
          <w:color w:val="auto"/>
          <w:lang w:val="et-EE"/>
        </w:rPr>
        <w:t>be</w:t>
      </w:r>
      <w:proofErr w:type="spellEnd"/>
      <w:r w:rsidRPr="00C14F35">
        <w:rPr>
          <w:i/>
          <w:iCs/>
          <w:color w:val="auto"/>
          <w:lang w:val="et-EE"/>
        </w:rPr>
        <w:t xml:space="preserve"> </w:t>
      </w:r>
      <w:proofErr w:type="spellStart"/>
      <w:r w:rsidRPr="00C14F35">
        <w:rPr>
          <w:bCs/>
          <w:i/>
          <w:iCs/>
          <w:color w:val="auto"/>
          <w:lang w:val="et-EE"/>
        </w:rPr>
        <w:t>expanded</w:t>
      </w:r>
      <w:proofErr w:type="spellEnd"/>
      <w:r w:rsidRPr="00C14F35">
        <w:rPr>
          <w:bCs/>
          <w:i/>
          <w:iCs/>
          <w:color w:val="auto"/>
          <w:lang w:val="et-EE"/>
        </w:rPr>
        <w:t xml:space="preserve"> </w:t>
      </w:r>
      <w:proofErr w:type="spellStart"/>
      <w:r w:rsidRPr="00C14F35">
        <w:rPr>
          <w:bCs/>
          <w:i/>
          <w:iCs/>
          <w:color w:val="auto"/>
          <w:lang w:val="et-EE"/>
        </w:rPr>
        <w:t>to</w:t>
      </w:r>
      <w:proofErr w:type="spellEnd"/>
      <w:r w:rsidRPr="00C14F35">
        <w:rPr>
          <w:bCs/>
          <w:i/>
          <w:iCs/>
          <w:color w:val="auto"/>
          <w:lang w:val="et-EE"/>
        </w:rPr>
        <w:t xml:space="preserve"> </w:t>
      </w:r>
      <w:proofErr w:type="spellStart"/>
      <w:r w:rsidRPr="00C14F35">
        <w:rPr>
          <w:bCs/>
          <w:i/>
          <w:iCs/>
          <w:color w:val="auto"/>
          <w:lang w:val="et-EE"/>
        </w:rPr>
        <w:t>also</w:t>
      </w:r>
      <w:proofErr w:type="spellEnd"/>
      <w:r w:rsidRPr="00C14F35">
        <w:rPr>
          <w:bCs/>
          <w:i/>
          <w:iCs/>
          <w:color w:val="auto"/>
          <w:lang w:val="et-EE"/>
        </w:rPr>
        <w:t xml:space="preserve"> </w:t>
      </w:r>
      <w:proofErr w:type="spellStart"/>
      <w:r w:rsidRPr="00C14F35">
        <w:rPr>
          <w:bCs/>
          <w:i/>
          <w:iCs/>
          <w:color w:val="auto"/>
          <w:lang w:val="et-EE"/>
        </w:rPr>
        <w:t>consider</w:t>
      </w:r>
      <w:proofErr w:type="spellEnd"/>
      <w:r w:rsidRPr="00C14F35">
        <w:rPr>
          <w:bCs/>
          <w:i/>
          <w:iCs/>
          <w:color w:val="auto"/>
          <w:lang w:val="et-EE"/>
        </w:rPr>
        <w:t xml:space="preserve"> </w:t>
      </w:r>
      <w:proofErr w:type="spellStart"/>
      <w:r w:rsidRPr="00C14F35">
        <w:rPr>
          <w:bCs/>
          <w:i/>
          <w:iCs/>
          <w:color w:val="auto"/>
          <w:lang w:val="et-EE"/>
        </w:rPr>
        <w:t>combinations</w:t>
      </w:r>
      <w:proofErr w:type="spellEnd"/>
      <w:r w:rsidRPr="00C14F35">
        <w:rPr>
          <w:bCs/>
          <w:i/>
          <w:iCs/>
          <w:color w:val="auto"/>
          <w:lang w:val="et-EE"/>
        </w:rPr>
        <w:t xml:space="preserve"> of in </w:t>
      </w:r>
      <w:proofErr w:type="spellStart"/>
      <w:r w:rsidRPr="00C14F35">
        <w:rPr>
          <w:bCs/>
          <w:i/>
          <w:iCs/>
          <w:color w:val="auto"/>
          <w:lang w:val="et-EE"/>
        </w:rPr>
        <w:t>vitro</w:t>
      </w:r>
      <w:proofErr w:type="spellEnd"/>
      <w:r w:rsidRPr="00C14F35">
        <w:rPr>
          <w:bCs/>
          <w:i/>
          <w:iCs/>
          <w:color w:val="auto"/>
          <w:lang w:val="et-EE"/>
        </w:rPr>
        <w:t xml:space="preserve"> </w:t>
      </w:r>
      <w:proofErr w:type="spellStart"/>
      <w:r w:rsidRPr="00C14F35">
        <w:rPr>
          <w:bCs/>
          <w:i/>
          <w:iCs/>
          <w:color w:val="auto"/>
          <w:lang w:val="et-EE"/>
        </w:rPr>
        <w:t>diagnostics</w:t>
      </w:r>
      <w:proofErr w:type="spellEnd"/>
      <w:r w:rsidRPr="00C14F35">
        <w:rPr>
          <w:bCs/>
          <w:i/>
          <w:iCs/>
          <w:color w:val="auto"/>
          <w:lang w:val="et-EE"/>
        </w:rPr>
        <w:t xml:space="preserve"> </w:t>
      </w:r>
      <w:proofErr w:type="spellStart"/>
      <w:r w:rsidRPr="00C14F35">
        <w:rPr>
          <w:bCs/>
          <w:i/>
          <w:iCs/>
          <w:color w:val="auto"/>
          <w:lang w:val="et-EE"/>
        </w:rPr>
        <w:t>used</w:t>
      </w:r>
      <w:proofErr w:type="spellEnd"/>
      <w:r w:rsidRPr="00C14F35">
        <w:rPr>
          <w:bCs/>
          <w:i/>
          <w:iCs/>
          <w:color w:val="auto"/>
          <w:lang w:val="et-EE"/>
        </w:rPr>
        <w:t xml:space="preserve"> in </w:t>
      </w:r>
      <w:proofErr w:type="spellStart"/>
      <w:r w:rsidRPr="00C14F35">
        <w:rPr>
          <w:bCs/>
          <w:i/>
          <w:iCs/>
          <w:color w:val="auto"/>
          <w:lang w:val="et-EE"/>
        </w:rPr>
        <w:t>conjunction</w:t>
      </w:r>
      <w:proofErr w:type="spellEnd"/>
      <w:r w:rsidRPr="00C14F35">
        <w:rPr>
          <w:bCs/>
          <w:i/>
          <w:iCs/>
          <w:color w:val="auto"/>
          <w:lang w:val="et-EE"/>
        </w:rPr>
        <w:t xml:space="preserve"> </w:t>
      </w:r>
      <w:proofErr w:type="spellStart"/>
      <w:r w:rsidRPr="00C14F35">
        <w:rPr>
          <w:bCs/>
          <w:i/>
          <w:iCs/>
          <w:color w:val="auto"/>
          <w:lang w:val="et-EE"/>
        </w:rPr>
        <w:t>with</w:t>
      </w:r>
      <w:proofErr w:type="spellEnd"/>
      <w:r w:rsidRPr="00C14F35">
        <w:rPr>
          <w:bCs/>
          <w:i/>
          <w:iCs/>
          <w:color w:val="auto"/>
          <w:lang w:val="et-EE"/>
        </w:rPr>
        <w:t xml:space="preserve"> </w:t>
      </w:r>
      <w:proofErr w:type="spellStart"/>
      <w:r w:rsidRPr="00C14F35">
        <w:rPr>
          <w:bCs/>
          <w:i/>
          <w:iCs/>
          <w:color w:val="auto"/>
          <w:lang w:val="et-EE"/>
        </w:rPr>
        <w:t>medicines</w:t>
      </w:r>
      <w:proofErr w:type="spellEnd"/>
      <w:r w:rsidRPr="00C14F35">
        <w:rPr>
          <w:bCs/>
          <w:i/>
          <w:iCs/>
          <w:color w:val="auto"/>
          <w:lang w:val="et-EE"/>
        </w:rPr>
        <w:t xml:space="preserve">. In </w:t>
      </w:r>
      <w:proofErr w:type="spellStart"/>
      <w:r w:rsidRPr="00C14F35">
        <w:rPr>
          <w:bCs/>
          <w:i/>
          <w:iCs/>
          <w:color w:val="auto"/>
          <w:lang w:val="et-EE"/>
        </w:rPr>
        <w:t>case</w:t>
      </w:r>
      <w:proofErr w:type="spellEnd"/>
      <w:r w:rsidRPr="00C14F35">
        <w:rPr>
          <w:bCs/>
          <w:i/>
          <w:iCs/>
          <w:color w:val="auto"/>
          <w:lang w:val="et-EE"/>
        </w:rPr>
        <w:t xml:space="preserve"> of </w:t>
      </w:r>
      <w:proofErr w:type="spellStart"/>
      <w:r w:rsidRPr="00C14F35">
        <w:rPr>
          <w:bCs/>
          <w:i/>
          <w:iCs/>
          <w:color w:val="auto"/>
          <w:lang w:val="et-EE"/>
        </w:rPr>
        <w:t>drug</w:t>
      </w:r>
      <w:proofErr w:type="spellEnd"/>
      <w:r w:rsidRPr="00C14F35">
        <w:rPr>
          <w:bCs/>
          <w:i/>
          <w:iCs/>
          <w:color w:val="auto"/>
          <w:lang w:val="et-EE"/>
        </w:rPr>
        <w:t xml:space="preserve"> </w:t>
      </w:r>
      <w:proofErr w:type="spellStart"/>
      <w:r w:rsidRPr="00C14F35">
        <w:rPr>
          <w:bCs/>
          <w:i/>
          <w:iCs/>
          <w:color w:val="auto"/>
          <w:lang w:val="et-EE"/>
        </w:rPr>
        <w:t>device</w:t>
      </w:r>
      <w:proofErr w:type="spellEnd"/>
      <w:r w:rsidRPr="00C14F35">
        <w:rPr>
          <w:bCs/>
          <w:i/>
          <w:iCs/>
          <w:color w:val="auto"/>
          <w:lang w:val="et-EE"/>
        </w:rPr>
        <w:t xml:space="preserve"> </w:t>
      </w:r>
      <w:proofErr w:type="spellStart"/>
      <w:r w:rsidRPr="00C14F35">
        <w:rPr>
          <w:bCs/>
          <w:i/>
          <w:iCs/>
          <w:color w:val="auto"/>
          <w:lang w:val="et-EE"/>
        </w:rPr>
        <w:t>combinations</w:t>
      </w:r>
      <w:proofErr w:type="spellEnd"/>
      <w:r w:rsidRPr="00C14F35">
        <w:rPr>
          <w:bCs/>
          <w:i/>
          <w:iCs/>
          <w:color w:val="auto"/>
          <w:lang w:val="et-EE"/>
        </w:rPr>
        <w:t xml:space="preserve"> </w:t>
      </w:r>
      <w:proofErr w:type="spellStart"/>
      <w:r w:rsidRPr="00C14F35">
        <w:rPr>
          <w:bCs/>
          <w:i/>
          <w:iCs/>
          <w:color w:val="auto"/>
          <w:lang w:val="et-EE"/>
        </w:rPr>
        <w:t>notified</w:t>
      </w:r>
      <w:proofErr w:type="spellEnd"/>
      <w:r w:rsidRPr="00C14F35">
        <w:rPr>
          <w:bCs/>
          <w:i/>
          <w:iCs/>
          <w:color w:val="auto"/>
          <w:lang w:val="et-EE"/>
        </w:rPr>
        <w:t xml:space="preserve"> </w:t>
      </w:r>
      <w:proofErr w:type="spellStart"/>
      <w:r w:rsidRPr="00C14F35">
        <w:rPr>
          <w:bCs/>
          <w:i/>
          <w:iCs/>
          <w:color w:val="auto"/>
          <w:lang w:val="et-EE"/>
        </w:rPr>
        <w:t>bodies</w:t>
      </w:r>
      <w:proofErr w:type="spellEnd"/>
      <w:r w:rsidRPr="00C14F35">
        <w:rPr>
          <w:bCs/>
          <w:i/>
          <w:iCs/>
          <w:color w:val="auto"/>
          <w:lang w:val="et-EE"/>
        </w:rPr>
        <w:t xml:space="preserve"> need </w:t>
      </w:r>
      <w:proofErr w:type="spellStart"/>
      <w:r w:rsidRPr="00C14F35">
        <w:rPr>
          <w:bCs/>
          <w:i/>
          <w:iCs/>
          <w:color w:val="auto"/>
          <w:lang w:val="et-EE"/>
        </w:rPr>
        <w:t>to</w:t>
      </w:r>
      <w:proofErr w:type="spellEnd"/>
      <w:r w:rsidRPr="00C14F35">
        <w:rPr>
          <w:bCs/>
          <w:i/>
          <w:iCs/>
          <w:color w:val="auto"/>
          <w:lang w:val="et-EE"/>
        </w:rPr>
        <w:t xml:space="preserve"> </w:t>
      </w:r>
      <w:proofErr w:type="spellStart"/>
      <w:r w:rsidRPr="00C14F35">
        <w:rPr>
          <w:bCs/>
          <w:i/>
          <w:iCs/>
          <w:color w:val="auto"/>
          <w:lang w:val="et-EE"/>
        </w:rPr>
        <w:t>be</w:t>
      </w:r>
      <w:proofErr w:type="spellEnd"/>
      <w:r w:rsidRPr="00C14F35">
        <w:rPr>
          <w:bCs/>
          <w:i/>
          <w:iCs/>
          <w:color w:val="auto"/>
          <w:lang w:val="et-EE"/>
        </w:rPr>
        <w:t xml:space="preserve"> </w:t>
      </w:r>
      <w:proofErr w:type="spellStart"/>
      <w:r w:rsidRPr="00C14F35">
        <w:rPr>
          <w:bCs/>
          <w:i/>
          <w:iCs/>
          <w:color w:val="auto"/>
          <w:lang w:val="et-EE"/>
        </w:rPr>
        <w:t>involved</w:t>
      </w:r>
      <w:proofErr w:type="spellEnd"/>
      <w:r w:rsidRPr="00C14F35">
        <w:rPr>
          <w:bCs/>
          <w:i/>
          <w:iCs/>
          <w:color w:val="auto"/>
          <w:lang w:val="et-EE"/>
        </w:rPr>
        <w:t xml:space="preserve"> </w:t>
      </w:r>
      <w:proofErr w:type="spellStart"/>
      <w:r w:rsidRPr="00C14F35">
        <w:rPr>
          <w:bCs/>
          <w:i/>
          <w:iCs/>
          <w:color w:val="auto"/>
          <w:lang w:val="et-EE"/>
        </w:rPr>
        <w:t>where</w:t>
      </w:r>
      <w:proofErr w:type="spellEnd"/>
      <w:r w:rsidRPr="00C14F35">
        <w:rPr>
          <w:bCs/>
          <w:i/>
          <w:iCs/>
          <w:color w:val="auto"/>
          <w:lang w:val="et-EE"/>
        </w:rPr>
        <w:t xml:space="preserve"> </w:t>
      </w:r>
      <w:proofErr w:type="spellStart"/>
      <w:r w:rsidRPr="00C14F35">
        <w:rPr>
          <w:bCs/>
          <w:i/>
          <w:iCs/>
          <w:color w:val="auto"/>
          <w:lang w:val="et-EE"/>
        </w:rPr>
        <w:t>possible</w:t>
      </w:r>
      <w:proofErr w:type="spellEnd"/>
      <w:r w:rsidRPr="00C14F35">
        <w:rPr>
          <w:bCs/>
          <w:i/>
          <w:iCs/>
          <w:color w:val="auto"/>
          <w:lang w:val="et-EE"/>
        </w:rPr>
        <w:t xml:space="preserve"> in </w:t>
      </w:r>
      <w:proofErr w:type="spellStart"/>
      <w:r w:rsidRPr="00C14F35">
        <w:rPr>
          <w:bCs/>
          <w:i/>
          <w:iCs/>
          <w:color w:val="auto"/>
          <w:lang w:val="et-EE"/>
        </w:rPr>
        <w:t>addition</w:t>
      </w:r>
      <w:proofErr w:type="spellEnd"/>
      <w:r w:rsidRPr="00C14F35">
        <w:rPr>
          <w:bCs/>
          <w:i/>
          <w:iCs/>
          <w:color w:val="auto"/>
          <w:lang w:val="et-EE"/>
        </w:rPr>
        <w:t xml:space="preserve"> </w:t>
      </w:r>
      <w:proofErr w:type="spellStart"/>
      <w:r w:rsidRPr="00C14F35">
        <w:rPr>
          <w:bCs/>
          <w:i/>
          <w:iCs/>
          <w:color w:val="auto"/>
          <w:lang w:val="et-EE"/>
        </w:rPr>
        <w:t>to</w:t>
      </w:r>
      <w:proofErr w:type="spellEnd"/>
      <w:r w:rsidRPr="00C14F35">
        <w:rPr>
          <w:bCs/>
          <w:i/>
          <w:iCs/>
          <w:color w:val="auto"/>
          <w:lang w:val="et-EE"/>
        </w:rPr>
        <w:t xml:space="preserve"> </w:t>
      </w:r>
      <w:proofErr w:type="spellStart"/>
      <w:r w:rsidRPr="00C14F35">
        <w:rPr>
          <w:bCs/>
          <w:i/>
          <w:iCs/>
          <w:color w:val="auto"/>
          <w:lang w:val="et-EE"/>
        </w:rPr>
        <w:t>the</w:t>
      </w:r>
      <w:proofErr w:type="spellEnd"/>
      <w:r w:rsidRPr="00C14F35">
        <w:rPr>
          <w:bCs/>
          <w:i/>
          <w:iCs/>
          <w:color w:val="auto"/>
          <w:lang w:val="et-EE"/>
        </w:rPr>
        <w:t xml:space="preserve"> </w:t>
      </w:r>
      <w:proofErr w:type="spellStart"/>
      <w:r w:rsidRPr="00C14F35">
        <w:rPr>
          <w:bCs/>
          <w:i/>
          <w:iCs/>
          <w:color w:val="auto"/>
          <w:lang w:val="et-EE"/>
        </w:rPr>
        <w:t>device</w:t>
      </w:r>
      <w:proofErr w:type="spellEnd"/>
      <w:r w:rsidRPr="00C14F35">
        <w:rPr>
          <w:bCs/>
          <w:i/>
          <w:iCs/>
          <w:color w:val="auto"/>
          <w:lang w:val="et-EE"/>
        </w:rPr>
        <w:t xml:space="preserve"> </w:t>
      </w:r>
      <w:proofErr w:type="spellStart"/>
      <w:r w:rsidRPr="00C14F35">
        <w:rPr>
          <w:bCs/>
          <w:i/>
          <w:iCs/>
          <w:color w:val="auto"/>
          <w:lang w:val="et-EE"/>
        </w:rPr>
        <w:t>expert</w:t>
      </w:r>
      <w:proofErr w:type="spellEnd"/>
      <w:r w:rsidRPr="00C14F35">
        <w:rPr>
          <w:bCs/>
          <w:i/>
          <w:iCs/>
          <w:color w:val="auto"/>
          <w:lang w:val="et-EE"/>
        </w:rPr>
        <w:t xml:space="preserve"> </w:t>
      </w:r>
      <w:proofErr w:type="spellStart"/>
      <w:r w:rsidRPr="00C14F35">
        <w:rPr>
          <w:bCs/>
          <w:i/>
          <w:iCs/>
          <w:color w:val="auto"/>
          <w:lang w:val="et-EE"/>
        </w:rPr>
        <w:t>panels</w:t>
      </w:r>
      <w:proofErr w:type="spellEnd"/>
    </w:p>
    <w:p w14:paraId="4A1D9EF3" w14:textId="77777777" w:rsidR="00FC6CCC" w:rsidRPr="00C14F35" w:rsidRDefault="00FC6CCC" w:rsidP="00E57AC1">
      <w:pPr>
        <w:pStyle w:val="Loendilik"/>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76" w:lineRule="auto"/>
        <w:ind w:left="360"/>
        <w:contextualSpacing/>
        <w:jc w:val="both"/>
        <w:rPr>
          <w:i/>
          <w:color w:val="auto"/>
          <w:lang w:val="et-EE"/>
        </w:rPr>
      </w:pPr>
      <w:r w:rsidRPr="00C14F35">
        <w:rPr>
          <w:i/>
          <w:color w:val="auto"/>
          <w:lang w:val="et-EE"/>
        </w:rPr>
        <w:t>...</w:t>
      </w:r>
      <w:proofErr w:type="spellStart"/>
      <w:r w:rsidRPr="00C14F35">
        <w:rPr>
          <w:i/>
          <w:color w:val="auto"/>
          <w:lang w:val="et-EE"/>
        </w:rPr>
        <w:t>to</w:t>
      </w:r>
      <w:proofErr w:type="spellEnd"/>
      <w:r w:rsidRPr="00C14F35">
        <w:rPr>
          <w:i/>
          <w:color w:val="auto"/>
          <w:lang w:val="et-EE"/>
        </w:rPr>
        <w:t xml:space="preserve"> </w:t>
      </w:r>
      <w:proofErr w:type="spellStart"/>
      <w:r w:rsidRPr="00C14F35">
        <w:rPr>
          <w:i/>
          <w:color w:val="auto"/>
          <w:lang w:val="et-EE"/>
        </w:rPr>
        <w:t>allow</w:t>
      </w:r>
      <w:proofErr w:type="spellEnd"/>
      <w:r w:rsidRPr="00C14F35">
        <w:rPr>
          <w:i/>
          <w:color w:val="auto"/>
          <w:lang w:val="et-EE"/>
        </w:rPr>
        <w:t xml:space="preserve"> </w:t>
      </w:r>
      <w:proofErr w:type="spellStart"/>
      <w:r w:rsidRPr="00C14F35">
        <w:rPr>
          <w:i/>
          <w:color w:val="auto"/>
          <w:lang w:val="et-EE"/>
        </w:rPr>
        <w:t>the</w:t>
      </w:r>
      <w:proofErr w:type="spellEnd"/>
      <w:r w:rsidRPr="00C14F35">
        <w:rPr>
          <w:i/>
          <w:color w:val="auto"/>
          <w:lang w:val="et-EE"/>
        </w:rPr>
        <w:t xml:space="preserve"> </w:t>
      </w:r>
      <w:proofErr w:type="spellStart"/>
      <w:r w:rsidRPr="00C14F35">
        <w:rPr>
          <w:i/>
          <w:color w:val="auto"/>
          <w:lang w:val="et-EE"/>
        </w:rPr>
        <w:t>regulatory</w:t>
      </w:r>
      <w:proofErr w:type="spellEnd"/>
      <w:r w:rsidRPr="00C14F35">
        <w:rPr>
          <w:i/>
          <w:color w:val="auto"/>
          <w:lang w:val="et-EE"/>
        </w:rPr>
        <w:t xml:space="preserve"> </w:t>
      </w:r>
      <w:proofErr w:type="spellStart"/>
      <w:r w:rsidRPr="00C14F35">
        <w:rPr>
          <w:i/>
          <w:color w:val="auto"/>
          <w:lang w:val="et-EE"/>
        </w:rPr>
        <w:t>sandbox</w:t>
      </w:r>
      <w:proofErr w:type="spellEnd"/>
      <w:r w:rsidRPr="00C14F35">
        <w:rPr>
          <w:i/>
          <w:color w:val="auto"/>
          <w:lang w:val="et-EE"/>
        </w:rPr>
        <w:t xml:space="preserve"> </w:t>
      </w:r>
      <w:proofErr w:type="spellStart"/>
      <w:r w:rsidRPr="00C14F35">
        <w:rPr>
          <w:i/>
          <w:color w:val="auto"/>
          <w:lang w:val="et-EE"/>
        </w:rPr>
        <w:t>to</w:t>
      </w:r>
      <w:proofErr w:type="spellEnd"/>
      <w:r w:rsidRPr="00C14F35">
        <w:rPr>
          <w:i/>
          <w:color w:val="auto"/>
          <w:lang w:val="et-EE"/>
        </w:rPr>
        <w:t xml:space="preserve"> </w:t>
      </w:r>
      <w:proofErr w:type="spellStart"/>
      <w:r w:rsidRPr="00C14F35">
        <w:rPr>
          <w:i/>
          <w:color w:val="auto"/>
          <w:lang w:val="et-EE"/>
        </w:rPr>
        <w:t>enable</w:t>
      </w:r>
      <w:proofErr w:type="spellEnd"/>
      <w:r w:rsidRPr="00C14F35">
        <w:rPr>
          <w:i/>
          <w:color w:val="auto"/>
          <w:lang w:val="et-EE"/>
        </w:rPr>
        <w:t xml:space="preserve"> a transparent </w:t>
      </w:r>
      <w:proofErr w:type="spellStart"/>
      <w:r w:rsidRPr="00C14F35">
        <w:rPr>
          <w:i/>
          <w:color w:val="auto"/>
          <w:lang w:val="et-EE"/>
        </w:rPr>
        <w:t>framework</w:t>
      </w:r>
      <w:proofErr w:type="spellEnd"/>
      <w:r w:rsidRPr="00C14F35">
        <w:rPr>
          <w:i/>
          <w:color w:val="auto"/>
          <w:lang w:val="et-EE"/>
        </w:rPr>
        <w:t xml:space="preserve"> </w:t>
      </w:r>
      <w:proofErr w:type="spellStart"/>
      <w:r w:rsidRPr="00C14F35">
        <w:rPr>
          <w:i/>
          <w:color w:val="auto"/>
          <w:lang w:val="et-EE"/>
        </w:rPr>
        <w:t>for</w:t>
      </w:r>
      <w:proofErr w:type="spellEnd"/>
      <w:r w:rsidRPr="00C14F35">
        <w:rPr>
          <w:i/>
          <w:color w:val="auto"/>
          <w:lang w:val="et-EE"/>
        </w:rPr>
        <w:t xml:space="preserve"> </w:t>
      </w:r>
      <w:proofErr w:type="spellStart"/>
      <w:r w:rsidRPr="00C14F35">
        <w:rPr>
          <w:i/>
          <w:color w:val="auto"/>
          <w:lang w:val="et-EE"/>
        </w:rPr>
        <w:t>integrated</w:t>
      </w:r>
      <w:proofErr w:type="spellEnd"/>
      <w:r w:rsidRPr="00C14F35">
        <w:rPr>
          <w:i/>
          <w:color w:val="auto"/>
          <w:lang w:val="et-EE"/>
        </w:rPr>
        <w:t xml:space="preserve"> </w:t>
      </w:r>
      <w:proofErr w:type="spellStart"/>
      <w:r w:rsidRPr="00C14F35">
        <w:rPr>
          <w:i/>
          <w:color w:val="auto"/>
          <w:lang w:val="et-EE"/>
        </w:rPr>
        <w:t>solutions</w:t>
      </w:r>
      <w:proofErr w:type="spellEnd"/>
      <w:r w:rsidRPr="00C14F35">
        <w:rPr>
          <w:i/>
          <w:color w:val="auto"/>
          <w:lang w:val="et-EE"/>
        </w:rPr>
        <w:t xml:space="preserve"> </w:t>
      </w:r>
      <w:proofErr w:type="spellStart"/>
      <w:r w:rsidRPr="00C14F35">
        <w:rPr>
          <w:i/>
          <w:color w:val="auto"/>
          <w:lang w:val="et-EE"/>
        </w:rPr>
        <w:t>involving</w:t>
      </w:r>
      <w:proofErr w:type="spellEnd"/>
      <w:r w:rsidRPr="00C14F35">
        <w:rPr>
          <w:i/>
          <w:color w:val="auto"/>
          <w:lang w:val="et-EE"/>
        </w:rPr>
        <w:t xml:space="preserve"> </w:t>
      </w:r>
      <w:proofErr w:type="spellStart"/>
      <w:r w:rsidRPr="00C14F35">
        <w:rPr>
          <w:i/>
          <w:color w:val="auto"/>
          <w:lang w:val="et-EE"/>
        </w:rPr>
        <w:t>combinations</w:t>
      </w:r>
      <w:proofErr w:type="spellEnd"/>
      <w:r w:rsidRPr="00C14F35">
        <w:rPr>
          <w:i/>
          <w:color w:val="auto"/>
          <w:lang w:val="et-EE"/>
        </w:rPr>
        <w:t xml:space="preserve"> of </w:t>
      </w:r>
      <w:proofErr w:type="spellStart"/>
      <w:r w:rsidRPr="00C14F35">
        <w:rPr>
          <w:i/>
          <w:color w:val="auto"/>
          <w:lang w:val="et-EE"/>
        </w:rPr>
        <w:t>medicines</w:t>
      </w:r>
      <w:proofErr w:type="spellEnd"/>
      <w:r w:rsidRPr="00C14F35">
        <w:rPr>
          <w:i/>
          <w:color w:val="auto"/>
          <w:lang w:val="et-EE"/>
        </w:rPr>
        <w:t xml:space="preserve"> </w:t>
      </w:r>
      <w:proofErr w:type="spellStart"/>
      <w:r w:rsidRPr="00C14F35">
        <w:rPr>
          <w:i/>
          <w:color w:val="auto"/>
          <w:lang w:val="et-EE"/>
        </w:rPr>
        <w:t>with</w:t>
      </w:r>
      <w:proofErr w:type="spellEnd"/>
      <w:r w:rsidRPr="00C14F35">
        <w:rPr>
          <w:i/>
          <w:color w:val="auto"/>
          <w:lang w:val="et-EE"/>
        </w:rPr>
        <w:t xml:space="preserve"> </w:t>
      </w:r>
      <w:proofErr w:type="spellStart"/>
      <w:r w:rsidRPr="00C14F35">
        <w:rPr>
          <w:i/>
          <w:color w:val="auto"/>
          <w:lang w:val="et-EE"/>
        </w:rPr>
        <w:t>devices</w:t>
      </w:r>
      <w:proofErr w:type="spellEnd"/>
      <w:r w:rsidRPr="00C14F35">
        <w:rPr>
          <w:i/>
          <w:color w:val="auto"/>
          <w:lang w:val="et-EE"/>
        </w:rPr>
        <w:t xml:space="preserve">, in </w:t>
      </w:r>
      <w:proofErr w:type="spellStart"/>
      <w:r w:rsidRPr="00C14F35">
        <w:rPr>
          <w:i/>
          <w:color w:val="auto"/>
          <w:lang w:val="et-EE"/>
        </w:rPr>
        <w:t>vitro</w:t>
      </w:r>
      <w:proofErr w:type="spellEnd"/>
      <w:r w:rsidRPr="00C14F35">
        <w:rPr>
          <w:i/>
          <w:color w:val="auto"/>
          <w:lang w:val="et-EE"/>
        </w:rPr>
        <w:t xml:space="preserve"> </w:t>
      </w:r>
      <w:proofErr w:type="spellStart"/>
      <w:r w:rsidRPr="00C14F35">
        <w:rPr>
          <w:i/>
          <w:color w:val="auto"/>
          <w:lang w:val="et-EE"/>
        </w:rPr>
        <w:t>diagnostics</w:t>
      </w:r>
      <w:proofErr w:type="spellEnd"/>
      <w:r w:rsidRPr="00C14F35">
        <w:rPr>
          <w:i/>
          <w:color w:val="auto"/>
          <w:lang w:val="et-EE"/>
        </w:rPr>
        <w:t xml:space="preserve">, and </w:t>
      </w:r>
      <w:proofErr w:type="spellStart"/>
      <w:r w:rsidRPr="00C14F35">
        <w:rPr>
          <w:i/>
          <w:color w:val="auto"/>
          <w:lang w:val="et-EE"/>
        </w:rPr>
        <w:t>digital</w:t>
      </w:r>
      <w:proofErr w:type="spellEnd"/>
      <w:r w:rsidRPr="00C14F35">
        <w:rPr>
          <w:i/>
          <w:color w:val="auto"/>
          <w:lang w:val="et-EE"/>
        </w:rPr>
        <w:t xml:space="preserve"> tool, </w:t>
      </w:r>
      <w:proofErr w:type="spellStart"/>
      <w:r w:rsidRPr="00C14F35">
        <w:rPr>
          <w:i/>
          <w:color w:val="auto"/>
          <w:lang w:val="et-EE"/>
        </w:rPr>
        <w:t>including</w:t>
      </w:r>
      <w:proofErr w:type="spellEnd"/>
      <w:r w:rsidRPr="00C14F35">
        <w:rPr>
          <w:i/>
          <w:color w:val="auto"/>
          <w:lang w:val="et-EE"/>
        </w:rPr>
        <w:t xml:space="preserve"> AI. </w:t>
      </w:r>
    </w:p>
    <w:p w14:paraId="1DBE1913" w14:textId="77777777" w:rsidR="00721A4D" w:rsidRPr="00C14F35" w:rsidRDefault="00721A4D" w:rsidP="00E57AC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76" w:lineRule="auto"/>
        <w:contextualSpacing/>
        <w:jc w:val="both"/>
        <w:rPr>
          <w:iCs/>
          <w:color w:val="auto"/>
        </w:rPr>
      </w:pPr>
    </w:p>
    <w:p w14:paraId="3FBEF27F" w14:textId="06FEDFAD" w:rsidR="00FC6CCC" w:rsidRPr="00C14F35" w:rsidRDefault="00FC6CCC" w:rsidP="006B1E15">
      <w:pPr>
        <w:spacing w:after="0" w:line="276" w:lineRule="auto"/>
        <w:contextualSpacing/>
        <w:jc w:val="both"/>
        <w:rPr>
          <w:color w:val="auto"/>
        </w:rPr>
      </w:pPr>
      <w:r w:rsidRPr="00C14F35">
        <w:rPr>
          <w:bCs/>
          <w:color w:val="auto"/>
        </w:rPr>
        <w:lastRenderedPageBreak/>
        <w:t>EFPIA seisukohale lisaks</w:t>
      </w:r>
      <w:r w:rsidRPr="00C14F35">
        <w:rPr>
          <w:b/>
          <w:color w:val="auto"/>
        </w:rPr>
        <w:t>,</w:t>
      </w:r>
      <w:r w:rsidRPr="00C14F35">
        <w:rPr>
          <w:color w:val="auto"/>
        </w:rPr>
        <w:t xml:space="preserve"> </w:t>
      </w:r>
      <w:r w:rsidR="00721A4D" w:rsidRPr="00C14F35">
        <w:rPr>
          <w:color w:val="auto"/>
        </w:rPr>
        <w:t>ei ole RTL-i hinnangul oluline</w:t>
      </w:r>
      <w:r w:rsidRPr="00C14F35">
        <w:rPr>
          <w:color w:val="auto"/>
        </w:rPr>
        <w:t xml:space="preserve"> mitte ainult testkeskkond, vaid sellele vastavalt peaks ka peale registreerimist</w:t>
      </w:r>
      <w:r w:rsidR="00721A4D" w:rsidRPr="00C14F35">
        <w:rPr>
          <w:color w:val="auto"/>
        </w:rPr>
        <w:t xml:space="preserve"> </w:t>
      </w:r>
      <w:r w:rsidRPr="00C14F35">
        <w:rPr>
          <w:color w:val="auto"/>
        </w:rPr>
        <w:t xml:space="preserve">rahastusotsused sellesamaga arvestama, st mitte hindama eraldi ravimit ja/või tehnoloogiat ja/või </w:t>
      </w:r>
      <w:proofErr w:type="spellStart"/>
      <w:r w:rsidRPr="00C14F35">
        <w:rPr>
          <w:color w:val="auto"/>
        </w:rPr>
        <w:t>IVDRi</w:t>
      </w:r>
      <w:proofErr w:type="spellEnd"/>
      <w:r w:rsidRPr="00C14F35">
        <w:rPr>
          <w:color w:val="auto"/>
        </w:rPr>
        <w:t xml:space="preserve"> – soodusravimite ja teenuste komisjonide töökorraldus (sh ka terviseamet peaks olema kaasatud) ja kriteeriumid vajavad kaasajastamist, sest uued raviviisid võivad sisaldada nende erinevate tehnoloogiate kombinatsioone ja eraldi neid hinnata ei olekski võima</w:t>
      </w:r>
      <w:r w:rsidR="001776DA" w:rsidRPr="00C14F35">
        <w:rPr>
          <w:color w:val="auto"/>
        </w:rPr>
        <w:t>l</w:t>
      </w:r>
      <w:r w:rsidRPr="00C14F35">
        <w:rPr>
          <w:color w:val="auto"/>
        </w:rPr>
        <w:t>ik.</w:t>
      </w:r>
    </w:p>
    <w:p w14:paraId="4078B81B" w14:textId="77777777" w:rsidR="006B1E15" w:rsidRPr="00C14F35" w:rsidRDefault="006B1E15" w:rsidP="006B1E15">
      <w:pPr>
        <w:spacing w:after="0" w:line="276" w:lineRule="auto"/>
        <w:contextualSpacing/>
        <w:jc w:val="both"/>
        <w:rPr>
          <w:color w:val="auto"/>
        </w:rPr>
      </w:pPr>
    </w:p>
    <w:p w14:paraId="1B69D977" w14:textId="1D47C4B1" w:rsidR="00FC6CCC" w:rsidRPr="00C14F35" w:rsidRDefault="00FC6CCC" w:rsidP="00B4450E">
      <w:pPr>
        <w:pStyle w:val="Pealkiri3"/>
      </w:pPr>
      <w:bookmarkStart w:id="28" w:name="_Toc139536099"/>
      <w:r w:rsidRPr="00C14F35">
        <w:t>Päriselu andmete kogumise toetamine</w:t>
      </w:r>
      <w:r w:rsidR="001B0FB4" w:rsidRPr="00C14F35">
        <w:t xml:space="preserve"> (Art 29.1(d))</w:t>
      </w:r>
      <w:bookmarkEnd w:id="28"/>
    </w:p>
    <w:p w14:paraId="46C87037" w14:textId="14845756" w:rsidR="00FC6CCC" w:rsidRPr="00C14F35" w:rsidRDefault="001A6FBA" w:rsidP="00E57AC1">
      <w:pPr>
        <w:contextualSpacing/>
        <w:jc w:val="both"/>
      </w:pPr>
      <w:r w:rsidRPr="00C14F35">
        <w:t>Toetame päriselu andmete kasutamist ravimite müügiloa taotluste hindamise protsessis nii tsentraalselt kui liikmesriikide tasemel.</w:t>
      </w:r>
    </w:p>
    <w:p w14:paraId="3F26D3E7" w14:textId="77777777" w:rsidR="00F2383D" w:rsidRPr="00C14F35" w:rsidRDefault="00F2383D" w:rsidP="00E57AC1">
      <w:pPr>
        <w:contextualSpacing/>
        <w:jc w:val="both"/>
      </w:pPr>
    </w:p>
    <w:p w14:paraId="1285BA7C" w14:textId="4CB76596" w:rsidR="00FC6CCC" w:rsidRPr="00C14F35" w:rsidRDefault="00FC6CCC" w:rsidP="00E57AC1">
      <w:pPr>
        <w:pStyle w:val="Pealkiri2"/>
        <w:contextualSpacing/>
        <w:rPr>
          <w:rFonts w:ascii="Calibri" w:hAnsi="Calibri" w:cs="Calibri"/>
        </w:rPr>
      </w:pPr>
      <w:bookmarkStart w:id="29" w:name="_Toc139536100"/>
      <w:r w:rsidRPr="00C14F35">
        <w:rPr>
          <w:rFonts w:ascii="Calibri" w:hAnsi="Calibri" w:cs="Calibri"/>
        </w:rPr>
        <w:t>Keskkonnahoid ja AMR</w:t>
      </w:r>
      <w:bookmarkEnd w:id="29"/>
      <w:r w:rsidRPr="00C14F35">
        <w:rPr>
          <w:rFonts w:ascii="Calibri" w:hAnsi="Calibri" w:cs="Calibri"/>
        </w:rPr>
        <w:t xml:space="preserve"> </w:t>
      </w:r>
    </w:p>
    <w:p w14:paraId="354CB0DF" w14:textId="77777777" w:rsidR="00DB6095" w:rsidRPr="00C14F35" w:rsidRDefault="00DB6095" w:rsidP="00DB6095">
      <w:pPr>
        <w:pStyle w:val="Loendilik"/>
        <w:keepNext/>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40" w:line="259" w:lineRule="auto"/>
        <w:contextualSpacing/>
        <w:jc w:val="both"/>
        <w:outlineLvl w:val="2"/>
        <w:rPr>
          <w:rFonts w:eastAsiaTheme="minorHAnsi"/>
          <w:b/>
          <w:vanish/>
          <w:color w:val="auto"/>
          <w:kern w:val="2"/>
          <w:bdr w:val="none" w:sz="0" w:space="0" w:color="auto"/>
          <w:lang w:val="et-EE" w:eastAsia="en-US"/>
          <w14:ligatures w14:val="standardContextual"/>
        </w:rPr>
      </w:pPr>
      <w:bookmarkStart w:id="30" w:name="_Toc139359909"/>
      <w:bookmarkStart w:id="31" w:name="_Toc139360912"/>
      <w:bookmarkStart w:id="32" w:name="_Toc139536101"/>
      <w:bookmarkEnd w:id="30"/>
      <w:bookmarkEnd w:id="31"/>
      <w:bookmarkEnd w:id="32"/>
    </w:p>
    <w:p w14:paraId="281CDA38" w14:textId="5B6E6605" w:rsidR="00FC6CCC" w:rsidRPr="00C14F35" w:rsidRDefault="00FC6CCC" w:rsidP="00DB6095">
      <w:pPr>
        <w:pStyle w:val="Pealkiri3"/>
      </w:pPr>
      <w:bookmarkStart w:id="33" w:name="_Toc139536102"/>
      <w:r w:rsidRPr="00C14F35">
        <w:t xml:space="preserve">Prioriteetsete </w:t>
      </w:r>
      <w:proofErr w:type="spellStart"/>
      <w:r w:rsidRPr="00C14F35">
        <w:t>antimikroobikumide</w:t>
      </w:r>
      <w:proofErr w:type="spellEnd"/>
      <w:r w:rsidRPr="00C14F35">
        <w:t xml:space="preserve"> </w:t>
      </w:r>
      <w:proofErr w:type="spellStart"/>
      <w:r w:rsidRPr="00C14F35">
        <w:t>vautšer</w:t>
      </w:r>
      <w:proofErr w:type="spellEnd"/>
      <w:r w:rsidR="001B0FB4" w:rsidRPr="00C14F35">
        <w:t xml:space="preserve"> (määruse </w:t>
      </w:r>
      <w:proofErr w:type="spellStart"/>
      <w:r w:rsidR="001B0FB4" w:rsidRPr="00C14F35">
        <w:t>ptk</w:t>
      </w:r>
      <w:proofErr w:type="spellEnd"/>
      <w:r w:rsidR="001B0FB4" w:rsidRPr="00C14F35">
        <w:t xml:space="preserve"> III artiklid 40-43)</w:t>
      </w:r>
      <w:bookmarkEnd w:id="33"/>
    </w:p>
    <w:p w14:paraId="0A5C2F77" w14:textId="77777777" w:rsidR="00FC6CCC" w:rsidRPr="00C14F35" w:rsidRDefault="00FC6CCC" w:rsidP="00E57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20" w:lineRule="atLeast"/>
        <w:contextualSpacing/>
        <w:jc w:val="both"/>
        <w:rPr>
          <w:rFonts w:eastAsia="Times New Roman"/>
          <w:lang w:eastAsia="en-GB"/>
        </w:rPr>
      </w:pPr>
      <w:proofErr w:type="spellStart"/>
      <w:r w:rsidRPr="00C14F35">
        <w:rPr>
          <w:rFonts w:eastAsia="Times New Roman"/>
          <w:lang w:eastAsia="en-GB"/>
        </w:rPr>
        <w:t>TEVi</w:t>
      </w:r>
      <w:proofErr w:type="spellEnd"/>
      <w:r w:rsidRPr="00C14F35">
        <w:rPr>
          <w:rFonts w:eastAsia="Times New Roman"/>
          <w:lang w:eastAsia="en-GB"/>
        </w:rPr>
        <w:t xml:space="preserve"> (</w:t>
      </w:r>
      <w:proofErr w:type="spellStart"/>
      <w:r w:rsidRPr="00C14F35">
        <w:rPr>
          <w:rFonts w:eastAsia="Times New Roman"/>
          <w:lang w:eastAsia="en-GB"/>
        </w:rPr>
        <w:t>transferable</w:t>
      </w:r>
      <w:proofErr w:type="spellEnd"/>
      <w:r w:rsidRPr="00C14F35">
        <w:rPr>
          <w:rFonts w:eastAsia="Times New Roman"/>
          <w:lang w:eastAsia="en-GB"/>
        </w:rPr>
        <w:t xml:space="preserve"> </w:t>
      </w:r>
      <w:proofErr w:type="spellStart"/>
      <w:r w:rsidRPr="00C14F35">
        <w:rPr>
          <w:rFonts w:eastAsia="Times New Roman"/>
          <w:lang w:eastAsia="en-GB"/>
        </w:rPr>
        <w:t>exclusivity</w:t>
      </w:r>
      <w:proofErr w:type="spellEnd"/>
      <w:r w:rsidRPr="00C14F35">
        <w:rPr>
          <w:rFonts w:eastAsia="Times New Roman"/>
          <w:lang w:eastAsia="en-GB"/>
        </w:rPr>
        <w:t xml:space="preserve"> </w:t>
      </w:r>
      <w:proofErr w:type="spellStart"/>
      <w:r w:rsidRPr="00C14F35">
        <w:rPr>
          <w:rFonts w:eastAsia="Times New Roman"/>
          <w:lang w:eastAsia="en-GB"/>
        </w:rPr>
        <w:t>voucher</w:t>
      </w:r>
      <w:proofErr w:type="spellEnd"/>
      <w:r w:rsidRPr="00C14F35">
        <w:rPr>
          <w:rFonts w:eastAsia="Times New Roman"/>
          <w:lang w:eastAsia="en-GB"/>
        </w:rPr>
        <w:t xml:space="preserve">) loomise tingimusi on vaja parandada, et TEV oleks tõhus vahend uute </w:t>
      </w:r>
      <w:proofErr w:type="spellStart"/>
      <w:r w:rsidRPr="00C14F35">
        <w:rPr>
          <w:rFonts w:eastAsia="Times New Roman"/>
          <w:lang w:eastAsia="en-GB"/>
        </w:rPr>
        <w:t>antimikroobsete</w:t>
      </w:r>
      <w:proofErr w:type="spellEnd"/>
      <w:r w:rsidRPr="00C14F35">
        <w:rPr>
          <w:rFonts w:eastAsia="Times New Roman"/>
          <w:lang w:eastAsia="en-GB"/>
        </w:rPr>
        <w:t xml:space="preserve"> ravimeetodite väljatöötamiseks. TEV peaks olema paindlikum, näiteks kohaldatav ka patentide/SPC-de suhtes.</w:t>
      </w:r>
    </w:p>
    <w:p w14:paraId="0D95A527" w14:textId="77777777" w:rsidR="00FC6CCC" w:rsidRPr="00C14F35" w:rsidRDefault="00FC6CCC" w:rsidP="00E57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20" w:lineRule="atLeast"/>
        <w:ind w:left="360"/>
        <w:contextualSpacing/>
        <w:jc w:val="both"/>
        <w:rPr>
          <w:rFonts w:eastAsia="Times New Roman"/>
          <w:lang w:eastAsia="en-GB"/>
        </w:rPr>
      </w:pPr>
    </w:p>
    <w:p w14:paraId="40ED7022" w14:textId="77777777" w:rsidR="00FC6CCC" w:rsidRPr="00C14F35" w:rsidRDefault="00FC6CCC" w:rsidP="00E57AC1">
      <w:pPr>
        <w:pStyle w:val="HTML-eelvormindatud"/>
        <w:spacing w:line="120" w:lineRule="atLeast"/>
        <w:contextualSpacing/>
        <w:jc w:val="both"/>
        <w:rPr>
          <w:rStyle w:val="y2iqfc"/>
          <w:rFonts w:ascii="Calibri" w:hAnsi="Calibri" w:cs="Calibri"/>
          <w:color w:val="202124"/>
          <w:sz w:val="22"/>
          <w:szCs w:val="22"/>
        </w:rPr>
      </w:pPr>
      <w:r w:rsidRPr="00C14F35">
        <w:rPr>
          <w:rStyle w:val="y2iqfc"/>
          <w:rFonts w:ascii="Calibri" w:hAnsi="Calibri" w:cs="Calibri"/>
          <w:color w:val="202124"/>
          <w:sz w:val="22"/>
          <w:szCs w:val="22"/>
        </w:rPr>
        <w:t xml:space="preserve">Et tõhusalt võidelda kasvava </w:t>
      </w:r>
      <w:proofErr w:type="spellStart"/>
      <w:r w:rsidRPr="00C14F35">
        <w:rPr>
          <w:rStyle w:val="y2iqfc"/>
          <w:rFonts w:ascii="Calibri" w:hAnsi="Calibri" w:cs="Calibri"/>
          <w:color w:val="202124"/>
          <w:sz w:val="22"/>
          <w:szCs w:val="22"/>
        </w:rPr>
        <w:t>antimikroobikumiresistentsusega</w:t>
      </w:r>
      <w:proofErr w:type="spellEnd"/>
      <w:r w:rsidRPr="00C14F35">
        <w:rPr>
          <w:rStyle w:val="y2iqfc"/>
          <w:rFonts w:ascii="Calibri" w:hAnsi="Calibri" w:cs="Calibri"/>
          <w:color w:val="202124"/>
          <w:sz w:val="22"/>
          <w:szCs w:val="22"/>
        </w:rPr>
        <w:t xml:space="preserve"> (AMR), on vaja terviklikku poliitikapaketti.  Toetame kavandatava õigusakti eesmärki ergutada uute </w:t>
      </w:r>
      <w:proofErr w:type="spellStart"/>
      <w:r w:rsidRPr="00C14F35">
        <w:rPr>
          <w:rStyle w:val="y2iqfc"/>
          <w:rFonts w:ascii="Calibri" w:hAnsi="Calibri" w:cs="Calibri"/>
          <w:color w:val="202124"/>
          <w:sz w:val="22"/>
          <w:szCs w:val="22"/>
        </w:rPr>
        <w:t>antimikroobikumide</w:t>
      </w:r>
      <w:proofErr w:type="spellEnd"/>
      <w:r w:rsidRPr="00C14F35">
        <w:rPr>
          <w:rStyle w:val="y2iqfc"/>
          <w:rFonts w:ascii="Calibri" w:hAnsi="Calibri" w:cs="Calibri"/>
          <w:color w:val="202124"/>
          <w:sz w:val="22"/>
          <w:szCs w:val="22"/>
        </w:rPr>
        <w:t xml:space="preserve"> väljatöötamist ja parandada kättesaadavust. Ülekantava </w:t>
      </w:r>
      <w:proofErr w:type="spellStart"/>
      <w:r w:rsidRPr="00C14F35">
        <w:rPr>
          <w:rStyle w:val="y2iqfc"/>
          <w:rFonts w:ascii="Calibri" w:hAnsi="Calibri" w:cs="Calibri"/>
          <w:color w:val="202124"/>
          <w:sz w:val="22"/>
          <w:szCs w:val="22"/>
        </w:rPr>
        <w:t>eksklusiivsusvautšeri</w:t>
      </w:r>
      <w:proofErr w:type="spellEnd"/>
      <w:r w:rsidRPr="00C14F35">
        <w:rPr>
          <w:rStyle w:val="y2iqfc"/>
          <w:rFonts w:ascii="Calibri" w:hAnsi="Calibri" w:cs="Calibri"/>
          <w:color w:val="202124"/>
          <w:sz w:val="22"/>
          <w:szCs w:val="22"/>
        </w:rPr>
        <w:t xml:space="preserve"> (TEV) mehhanism </w:t>
      </w:r>
      <w:proofErr w:type="spellStart"/>
      <w:r w:rsidRPr="00C14F35">
        <w:rPr>
          <w:rStyle w:val="y2iqfc"/>
          <w:rFonts w:ascii="Calibri" w:hAnsi="Calibri" w:cs="Calibri"/>
          <w:color w:val="202124"/>
          <w:sz w:val="22"/>
          <w:szCs w:val="22"/>
        </w:rPr>
        <w:t>antimikroobse</w:t>
      </w:r>
      <w:proofErr w:type="spellEnd"/>
      <w:r w:rsidRPr="00C14F35">
        <w:rPr>
          <w:rStyle w:val="y2iqfc"/>
          <w:rFonts w:ascii="Calibri" w:hAnsi="Calibri" w:cs="Calibri"/>
          <w:color w:val="202124"/>
          <w:sz w:val="22"/>
          <w:szCs w:val="22"/>
        </w:rPr>
        <w:t xml:space="preserve"> uurimis- ja arendustegevuse edendamiseks on positiivne areng. Komisjoni pakutud mitmed piiravad </w:t>
      </w:r>
      <w:proofErr w:type="spellStart"/>
      <w:r w:rsidRPr="00C14F35">
        <w:rPr>
          <w:rStyle w:val="y2iqfc"/>
          <w:rFonts w:ascii="Calibri" w:hAnsi="Calibri" w:cs="Calibri"/>
          <w:color w:val="202124"/>
          <w:sz w:val="22"/>
          <w:szCs w:val="22"/>
        </w:rPr>
        <w:t>TEV-ga</w:t>
      </w:r>
      <w:proofErr w:type="spellEnd"/>
      <w:r w:rsidRPr="00C14F35">
        <w:rPr>
          <w:rStyle w:val="y2iqfc"/>
          <w:rFonts w:ascii="Calibri" w:hAnsi="Calibri" w:cs="Calibri"/>
          <w:color w:val="202124"/>
          <w:sz w:val="22"/>
          <w:szCs w:val="22"/>
        </w:rPr>
        <w:t xml:space="preserve"> seotud tingimused vähendavad aga oluliselt stiimuli tõhusust, tekitades märkimisväärset ettearvamatust ning seetõttu ei praegune mudel ei too kaasa täiendavaid teadus- ja arendustegevuse investeeringuid.</w:t>
      </w:r>
    </w:p>
    <w:p w14:paraId="1228B6C5" w14:textId="77777777" w:rsidR="003D48FD" w:rsidRPr="00C14F35" w:rsidRDefault="003D48FD" w:rsidP="00E57AC1">
      <w:pPr>
        <w:pStyle w:val="HTML-eelvormindatud"/>
        <w:spacing w:line="120" w:lineRule="atLeast"/>
        <w:contextualSpacing/>
        <w:jc w:val="both"/>
        <w:rPr>
          <w:rStyle w:val="y2iqfc"/>
          <w:rFonts w:ascii="Calibri" w:hAnsi="Calibri" w:cs="Calibri"/>
          <w:color w:val="202124"/>
          <w:sz w:val="22"/>
          <w:szCs w:val="22"/>
        </w:rPr>
      </w:pPr>
    </w:p>
    <w:p w14:paraId="4791BD1F" w14:textId="77777777" w:rsidR="003D48FD" w:rsidRPr="00C14F35" w:rsidRDefault="003D48FD" w:rsidP="00DB6095">
      <w:pPr>
        <w:pStyle w:val="Pealkiri3"/>
      </w:pPr>
      <w:bookmarkStart w:id="34" w:name="_Toc139536103"/>
      <w:r w:rsidRPr="00C14F35">
        <w:t>AMR ennetusmeetmed (retseptinõue, pakendikogused, teabekaart jms – direktiivi art 51, 52, 69)</w:t>
      </w:r>
      <w:bookmarkEnd w:id="34"/>
    </w:p>
    <w:p w14:paraId="72A9EFE3" w14:textId="53401A60" w:rsidR="00030A48" w:rsidRPr="00C14F35" w:rsidRDefault="00FC6CCC" w:rsidP="00E57AC1">
      <w:pPr>
        <w:contextualSpacing/>
        <w:jc w:val="both"/>
        <w:rPr>
          <w:color w:val="000000" w:themeColor="text1"/>
        </w:rPr>
      </w:pPr>
      <w:proofErr w:type="spellStart"/>
      <w:r w:rsidRPr="00C14F35">
        <w:rPr>
          <w:color w:val="000000" w:themeColor="text1"/>
        </w:rPr>
        <w:t>AMRi</w:t>
      </w:r>
      <w:proofErr w:type="spellEnd"/>
      <w:r w:rsidRPr="00C14F35">
        <w:rPr>
          <w:color w:val="000000" w:themeColor="text1"/>
        </w:rPr>
        <w:t xml:space="preserve"> ennetusmeetmed on asjakohased, kui nad töötavad. Direktiivis on kirjas, et liikmesriigid võivad seada lisatingimusi </w:t>
      </w:r>
      <w:proofErr w:type="spellStart"/>
      <w:r w:rsidRPr="00C14F35">
        <w:rPr>
          <w:color w:val="000000" w:themeColor="text1"/>
        </w:rPr>
        <w:t>antimikroobsete</w:t>
      </w:r>
      <w:proofErr w:type="spellEnd"/>
      <w:r w:rsidRPr="00C14F35">
        <w:rPr>
          <w:color w:val="000000" w:themeColor="text1"/>
        </w:rPr>
        <w:t xml:space="preserve"> ravimite väljakirjutamisele. Kui neid rakendatakse nt piirkonniti erinevalt, siis on ka tulemus küsitav.  Meil on ju e-retsept nüüd kasutusel ja inimesed reisivad intensiivselt. Teabekaart on ilmselt täiendav riskiminimiseerimise materjal, mis on kasutusel  erinevate ravimite puhul. Iseasi on, kuivõrd need materjalid oma eesmärki täidavad. </w:t>
      </w:r>
    </w:p>
    <w:p w14:paraId="187811C1" w14:textId="77777777" w:rsidR="00FE2D9B" w:rsidRPr="00C14F35" w:rsidRDefault="00FE2D9B" w:rsidP="00E57AC1">
      <w:pPr>
        <w:contextualSpacing/>
        <w:jc w:val="both"/>
        <w:rPr>
          <w:color w:val="000000" w:themeColor="text1"/>
        </w:rPr>
      </w:pPr>
    </w:p>
    <w:p w14:paraId="15021A4D" w14:textId="3129A137" w:rsidR="001776DA" w:rsidRPr="00C14F35" w:rsidRDefault="00FC6CCC" w:rsidP="00DB6095">
      <w:pPr>
        <w:pStyle w:val="Pealkiri3"/>
      </w:pPr>
      <w:bookmarkStart w:id="35" w:name="_Toc139536104"/>
      <w:r w:rsidRPr="00C14F35">
        <w:t xml:space="preserve">Keskkonnariskihindamise tugevdamine </w:t>
      </w:r>
      <w:r w:rsidR="002D7893" w:rsidRPr="00C14F35">
        <w:t>(nt direktiivi artikkel 22, 44, 47, määruses art 15, 16, 20, 104)</w:t>
      </w:r>
      <w:bookmarkEnd w:id="35"/>
    </w:p>
    <w:p w14:paraId="77E37066" w14:textId="28BB4E45" w:rsidR="0035283B" w:rsidRPr="00C14F35" w:rsidRDefault="0035283B" w:rsidP="0035283B">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120" w:lineRule="atLeast"/>
        <w:rPr>
          <w:rFonts w:eastAsia="Times New Roman"/>
          <w:color w:val="202124"/>
          <w:bdr w:val="none" w:sz="0" w:space="0" w:color="auto"/>
          <w:lang w:eastAsia="en-GB"/>
        </w:rPr>
      </w:pPr>
      <w:r w:rsidRPr="00C14F35">
        <w:rPr>
          <w:rFonts w:eastAsia="Times New Roman"/>
          <w:color w:val="202124"/>
          <w:bdr w:val="none" w:sz="0" w:space="0" w:color="auto"/>
          <w:lang w:eastAsia="en-GB"/>
        </w:rPr>
        <w:t xml:space="preserve">ERA </w:t>
      </w:r>
      <w:r w:rsidR="00373669" w:rsidRPr="00C14F35">
        <w:rPr>
          <w:rFonts w:eastAsia="Times New Roman"/>
          <w:color w:val="202124"/>
          <w:bdr w:val="none" w:sz="0" w:space="0" w:color="auto"/>
          <w:lang w:eastAsia="en-GB"/>
        </w:rPr>
        <w:t>(</w:t>
      </w:r>
      <w:proofErr w:type="spellStart"/>
      <w:r w:rsidR="00373669" w:rsidRPr="00C14F35">
        <w:t>environmental</w:t>
      </w:r>
      <w:proofErr w:type="spellEnd"/>
      <w:r w:rsidR="00373669" w:rsidRPr="00C14F35">
        <w:t xml:space="preserve"> risk </w:t>
      </w:r>
      <w:proofErr w:type="spellStart"/>
      <w:r w:rsidR="00373669" w:rsidRPr="00C14F35">
        <w:t>assessment</w:t>
      </w:r>
      <w:proofErr w:type="spellEnd"/>
      <w:r w:rsidR="00373669" w:rsidRPr="00C14F35">
        <w:t>)</w:t>
      </w:r>
      <w:r w:rsidR="00373669" w:rsidRPr="00C14F35">
        <w:rPr>
          <w:rFonts w:eastAsia="Times New Roman"/>
          <w:color w:val="202124"/>
          <w:bdr w:val="none" w:sz="0" w:space="0" w:color="auto"/>
          <w:lang w:eastAsia="en-GB"/>
        </w:rPr>
        <w:t xml:space="preserve"> </w:t>
      </w:r>
      <w:r w:rsidRPr="00C14F35">
        <w:rPr>
          <w:rFonts w:eastAsia="Times New Roman"/>
          <w:color w:val="202124"/>
          <w:bdr w:val="none" w:sz="0" w:space="0" w:color="auto"/>
          <w:lang w:eastAsia="en-GB"/>
        </w:rPr>
        <w:t xml:space="preserve">peaks hindama </w:t>
      </w:r>
      <w:r w:rsidR="00373669" w:rsidRPr="00C14F35">
        <w:rPr>
          <w:rFonts w:eastAsia="Times New Roman"/>
          <w:color w:val="202124"/>
          <w:bdr w:val="none" w:sz="0" w:space="0" w:color="auto"/>
          <w:lang w:eastAsia="en-GB"/>
        </w:rPr>
        <w:t>ravimite</w:t>
      </w:r>
      <w:r w:rsidRPr="00C14F35">
        <w:rPr>
          <w:rFonts w:eastAsia="Times New Roman"/>
          <w:color w:val="202124"/>
          <w:bdr w:val="none" w:sz="0" w:space="0" w:color="auto"/>
          <w:lang w:eastAsia="en-GB"/>
        </w:rPr>
        <w:t xml:space="preserve"> toimeainete (API) mõju </w:t>
      </w:r>
      <w:r w:rsidR="00373669" w:rsidRPr="00C14F35">
        <w:rPr>
          <w:rFonts w:eastAsia="Times New Roman"/>
          <w:color w:val="202124"/>
          <w:bdr w:val="none" w:sz="0" w:space="0" w:color="auto"/>
          <w:lang w:eastAsia="en-GB"/>
        </w:rPr>
        <w:t xml:space="preserve">selle asemel, et vaadelda </w:t>
      </w:r>
      <w:r w:rsidRPr="00C14F35">
        <w:rPr>
          <w:rFonts w:eastAsia="Times New Roman"/>
          <w:color w:val="202124"/>
          <w:bdr w:val="none" w:sz="0" w:space="0" w:color="auto"/>
          <w:lang w:eastAsia="en-GB"/>
        </w:rPr>
        <w:t>üksiku</w:t>
      </w:r>
      <w:r w:rsidR="00373669" w:rsidRPr="00C14F35">
        <w:rPr>
          <w:rFonts w:eastAsia="Times New Roman"/>
          <w:color w:val="202124"/>
          <w:bdr w:val="none" w:sz="0" w:space="0" w:color="auto"/>
          <w:lang w:eastAsia="en-GB"/>
        </w:rPr>
        <w:t>id</w:t>
      </w:r>
      <w:r w:rsidRPr="00C14F35">
        <w:rPr>
          <w:rFonts w:eastAsia="Times New Roman"/>
          <w:color w:val="202124"/>
          <w:bdr w:val="none" w:sz="0" w:space="0" w:color="auto"/>
          <w:lang w:eastAsia="en-GB"/>
        </w:rPr>
        <w:t xml:space="preserve"> ravim</w:t>
      </w:r>
      <w:r w:rsidR="00373669" w:rsidRPr="00C14F35">
        <w:rPr>
          <w:rFonts w:eastAsia="Times New Roman"/>
          <w:color w:val="202124"/>
          <w:bdr w:val="none" w:sz="0" w:space="0" w:color="auto"/>
          <w:lang w:eastAsia="en-GB"/>
        </w:rPr>
        <w:t>eid, nii saaks</w:t>
      </w:r>
      <w:r w:rsidRPr="00C14F35">
        <w:rPr>
          <w:rFonts w:eastAsia="Times New Roman"/>
          <w:color w:val="202124"/>
          <w:bdr w:val="none" w:sz="0" w:space="0" w:color="auto"/>
          <w:lang w:eastAsia="en-GB"/>
        </w:rPr>
        <w:t xml:space="preserve"> koguda </w:t>
      </w:r>
      <w:proofErr w:type="spellStart"/>
      <w:r w:rsidRPr="00C14F35">
        <w:rPr>
          <w:rFonts w:eastAsia="Times New Roman"/>
          <w:color w:val="202124"/>
          <w:bdr w:val="none" w:sz="0" w:space="0" w:color="auto"/>
          <w:lang w:eastAsia="en-GB"/>
        </w:rPr>
        <w:t>uusimat</w:t>
      </w:r>
      <w:proofErr w:type="spellEnd"/>
      <w:r w:rsidRPr="00C14F35">
        <w:rPr>
          <w:rFonts w:eastAsia="Times New Roman"/>
          <w:color w:val="202124"/>
          <w:bdr w:val="none" w:sz="0" w:space="0" w:color="auto"/>
          <w:lang w:eastAsia="en-GB"/>
        </w:rPr>
        <w:t xml:space="preserve"> keskkonnateavet ja hinnata täpselt kõigi ravimite võimalikke riske.</w:t>
      </w:r>
    </w:p>
    <w:p w14:paraId="25E1C443" w14:textId="77777777" w:rsidR="009F2E1A" w:rsidRPr="00C14F35" w:rsidRDefault="009F2E1A" w:rsidP="0035283B">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120" w:lineRule="atLeast"/>
        <w:rPr>
          <w:rFonts w:eastAsia="Times New Roman"/>
          <w:color w:val="202124"/>
          <w:bdr w:val="none" w:sz="0" w:space="0" w:color="auto"/>
          <w:lang w:eastAsia="en-GB"/>
        </w:rPr>
      </w:pPr>
    </w:p>
    <w:p w14:paraId="6B5BE94C" w14:textId="09E408EC" w:rsidR="0035283B" w:rsidRPr="00C14F35" w:rsidRDefault="00373669" w:rsidP="0035283B">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120" w:lineRule="atLeast"/>
        <w:rPr>
          <w:rFonts w:eastAsia="Times New Roman"/>
          <w:color w:val="202124"/>
          <w:bdr w:val="none" w:sz="0" w:space="0" w:color="auto"/>
          <w:lang w:eastAsia="en-GB"/>
        </w:rPr>
      </w:pPr>
      <w:r w:rsidRPr="00C14F35">
        <w:rPr>
          <w:rFonts w:eastAsia="Times New Roman"/>
          <w:color w:val="202124"/>
          <w:bdr w:val="none" w:sz="0" w:space="0" w:color="auto"/>
          <w:lang w:eastAsia="en-GB"/>
        </w:rPr>
        <w:t>Üksnes keskkonnaalastel põhjustel ei tohiks m</w:t>
      </w:r>
      <w:r w:rsidR="0035283B" w:rsidRPr="00C14F35">
        <w:rPr>
          <w:rFonts w:eastAsia="Times New Roman"/>
          <w:color w:val="202124"/>
          <w:bdr w:val="none" w:sz="0" w:space="0" w:color="auto"/>
          <w:lang w:eastAsia="en-GB"/>
        </w:rPr>
        <w:t>üügiloa andmisest keelduda, seda peatada, tühistada</w:t>
      </w:r>
      <w:r w:rsidRPr="00C14F35">
        <w:rPr>
          <w:rFonts w:eastAsia="Times New Roman"/>
          <w:color w:val="202124"/>
          <w:bdr w:val="none" w:sz="0" w:space="0" w:color="auto"/>
          <w:lang w:eastAsia="en-GB"/>
        </w:rPr>
        <w:t xml:space="preserve"> või</w:t>
      </w:r>
      <w:r w:rsidR="0035283B" w:rsidRPr="00C14F35">
        <w:rPr>
          <w:rFonts w:eastAsia="Times New Roman"/>
          <w:color w:val="202124"/>
          <w:bdr w:val="none" w:sz="0" w:space="0" w:color="auto"/>
          <w:lang w:eastAsia="en-GB"/>
        </w:rPr>
        <w:t xml:space="preserve"> tarnimist keelata</w:t>
      </w:r>
      <w:r w:rsidRPr="00C14F35">
        <w:rPr>
          <w:rFonts w:eastAsia="Times New Roman"/>
          <w:color w:val="202124"/>
          <w:bdr w:val="none" w:sz="0" w:space="0" w:color="auto"/>
          <w:lang w:eastAsia="en-GB"/>
        </w:rPr>
        <w:t>. S</w:t>
      </w:r>
      <w:r w:rsidR="0035283B" w:rsidRPr="00C14F35">
        <w:rPr>
          <w:rFonts w:eastAsia="Times New Roman"/>
          <w:color w:val="202124"/>
          <w:bdr w:val="none" w:sz="0" w:space="0" w:color="auto"/>
          <w:lang w:eastAsia="en-GB"/>
        </w:rPr>
        <w:t xml:space="preserve">elle asemel tuleks </w:t>
      </w:r>
      <w:r w:rsidRPr="00C14F35">
        <w:rPr>
          <w:rFonts w:eastAsia="Times New Roman"/>
          <w:color w:val="202124"/>
          <w:bdr w:val="none" w:sz="0" w:space="0" w:color="auto"/>
          <w:lang w:eastAsia="en-GB"/>
        </w:rPr>
        <w:t xml:space="preserve">vaadelda keskkonnalaseid riske </w:t>
      </w:r>
      <w:r w:rsidR="0035283B" w:rsidRPr="00C14F35">
        <w:rPr>
          <w:rFonts w:eastAsia="Times New Roman"/>
          <w:color w:val="202124"/>
          <w:bdr w:val="none" w:sz="0" w:space="0" w:color="auto"/>
          <w:lang w:eastAsia="en-GB"/>
        </w:rPr>
        <w:t>osana ravimi riski</w:t>
      </w:r>
      <w:r w:rsidRPr="00C14F35">
        <w:rPr>
          <w:rFonts w:eastAsia="Times New Roman"/>
          <w:color w:val="202124"/>
          <w:bdr w:val="none" w:sz="0" w:space="0" w:color="auto"/>
          <w:lang w:eastAsia="en-GB"/>
        </w:rPr>
        <w:t xml:space="preserve"> ja </w:t>
      </w:r>
      <w:r w:rsidR="0035283B" w:rsidRPr="00C14F35">
        <w:rPr>
          <w:rFonts w:eastAsia="Times New Roman"/>
          <w:color w:val="202124"/>
          <w:bdr w:val="none" w:sz="0" w:space="0" w:color="auto"/>
          <w:lang w:eastAsia="en-GB"/>
        </w:rPr>
        <w:t>kasu</w:t>
      </w:r>
      <w:r w:rsidRPr="00C14F35">
        <w:rPr>
          <w:rFonts w:eastAsia="Times New Roman"/>
          <w:color w:val="202124"/>
          <w:bdr w:val="none" w:sz="0" w:space="0" w:color="auto"/>
          <w:lang w:eastAsia="en-GB"/>
        </w:rPr>
        <w:t xml:space="preserve"> suhtest.</w:t>
      </w:r>
    </w:p>
    <w:p w14:paraId="09B8E110" w14:textId="75E67B41" w:rsidR="0035283B" w:rsidRPr="00C14F35" w:rsidRDefault="00373669" w:rsidP="0035283B">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120" w:lineRule="atLeast"/>
        <w:rPr>
          <w:rFonts w:eastAsia="Times New Roman"/>
          <w:color w:val="202124"/>
          <w:bdr w:val="none" w:sz="0" w:space="0" w:color="auto"/>
          <w:lang w:eastAsia="en-GB"/>
        </w:rPr>
      </w:pPr>
      <w:r w:rsidRPr="00C14F35">
        <w:rPr>
          <w:rFonts w:eastAsia="Times New Roman"/>
          <w:color w:val="202124"/>
          <w:bdr w:val="none" w:sz="0" w:space="0" w:color="auto"/>
          <w:lang w:eastAsia="en-GB"/>
        </w:rPr>
        <w:t>Tuleks kasutada</w:t>
      </w:r>
      <w:r w:rsidR="0035283B" w:rsidRPr="00C14F35">
        <w:rPr>
          <w:rFonts w:eastAsia="Times New Roman"/>
          <w:color w:val="202124"/>
          <w:bdr w:val="none" w:sz="0" w:space="0" w:color="auto"/>
          <w:lang w:eastAsia="en-GB"/>
        </w:rPr>
        <w:t xml:space="preserve"> </w:t>
      </w:r>
      <w:proofErr w:type="spellStart"/>
      <w:r w:rsidR="0035283B" w:rsidRPr="00C14F35">
        <w:rPr>
          <w:rFonts w:eastAsia="Times New Roman"/>
          <w:color w:val="202124"/>
          <w:bdr w:val="none" w:sz="0" w:space="0" w:color="auto"/>
          <w:lang w:eastAsia="en-GB"/>
        </w:rPr>
        <w:t>antimikroobikumide</w:t>
      </w:r>
      <w:proofErr w:type="spellEnd"/>
      <w:r w:rsidR="0035283B" w:rsidRPr="00C14F35">
        <w:rPr>
          <w:rFonts w:eastAsia="Times New Roman"/>
          <w:color w:val="202124"/>
          <w:bdr w:val="none" w:sz="0" w:space="0" w:color="auto"/>
          <w:lang w:eastAsia="en-GB"/>
        </w:rPr>
        <w:t xml:space="preserve"> jaoks väljakujunenud süsteeme, mis tuginevad AMR Industry Alliance'i välja töötatud antibiootikumide tootmisstandardile.</w:t>
      </w:r>
    </w:p>
    <w:p w14:paraId="276F5665" w14:textId="77777777" w:rsidR="00FC6CCC" w:rsidRPr="00C14F35" w:rsidRDefault="00FC6CCC" w:rsidP="00E57AC1">
      <w:pPr>
        <w:pStyle w:val="Pealkiri2"/>
        <w:contextualSpacing/>
        <w:rPr>
          <w:rFonts w:ascii="Calibri" w:hAnsi="Calibri" w:cs="Calibri"/>
        </w:rPr>
      </w:pPr>
      <w:bookmarkStart w:id="36" w:name="_Toc139536105"/>
      <w:r w:rsidRPr="00C14F35">
        <w:rPr>
          <w:rFonts w:ascii="Calibri" w:hAnsi="Calibri" w:cs="Calibri"/>
        </w:rPr>
        <w:lastRenderedPageBreak/>
        <w:t>Küsimused ja kommentaarid</w:t>
      </w:r>
      <w:bookmarkEnd w:id="36"/>
    </w:p>
    <w:p w14:paraId="755232E3" w14:textId="77777777" w:rsidR="00FC6CCC" w:rsidRPr="00C14F35" w:rsidRDefault="00FC6CCC" w:rsidP="00E57AC1">
      <w:pPr>
        <w:contextualSpacing/>
        <w:jc w:val="both"/>
        <w:rPr>
          <w:b/>
          <w:bCs/>
          <w:color w:val="365F91" w:themeColor="accent1" w:themeShade="BF"/>
        </w:rPr>
      </w:pPr>
      <w:proofErr w:type="spellStart"/>
      <w:r w:rsidRPr="00C14F35">
        <w:rPr>
          <w:b/>
          <w:bCs/>
          <w:color w:val="365F91" w:themeColor="accent1" w:themeShade="BF"/>
        </w:rPr>
        <w:t>Regulation</w:t>
      </w:r>
      <w:proofErr w:type="spellEnd"/>
      <w:r w:rsidRPr="00C14F35">
        <w:rPr>
          <w:b/>
          <w:bCs/>
          <w:color w:val="365F91" w:themeColor="accent1" w:themeShade="BF"/>
        </w:rPr>
        <w:t xml:space="preserve"> of </w:t>
      </w:r>
      <w:proofErr w:type="spellStart"/>
      <w:r w:rsidRPr="00C14F35">
        <w:rPr>
          <w:b/>
          <w:bCs/>
          <w:color w:val="365F91" w:themeColor="accent1" w:themeShade="BF"/>
        </w:rPr>
        <w:t>the</w:t>
      </w:r>
      <w:proofErr w:type="spellEnd"/>
      <w:r w:rsidRPr="00C14F35">
        <w:rPr>
          <w:b/>
          <w:bCs/>
          <w:color w:val="365F91" w:themeColor="accent1" w:themeShade="BF"/>
        </w:rPr>
        <w:t xml:space="preserve"> </w:t>
      </w:r>
      <w:proofErr w:type="spellStart"/>
      <w:r w:rsidRPr="00C14F35">
        <w:rPr>
          <w:b/>
          <w:bCs/>
          <w:color w:val="365F91" w:themeColor="accent1" w:themeShade="BF"/>
        </w:rPr>
        <w:t>European</w:t>
      </w:r>
      <w:proofErr w:type="spellEnd"/>
      <w:r w:rsidRPr="00C14F35">
        <w:rPr>
          <w:b/>
          <w:bCs/>
          <w:color w:val="365F91" w:themeColor="accent1" w:themeShade="BF"/>
        </w:rPr>
        <w:t xml:space="preserve"> </w:t>
      </w:r>
      <w:proofErr w:type="spellStart"/>
      <w:r w:rsidRPr="00C14F35">
        <w:rPr>
          <w:b/>
          <w:bCs/>
          <w:color w:val="365F91" w:themeColor="accent1" w:themeShade="BF"/>
        </w:rPr>
        <w:t>Parliament</w:t>
      </w:r>
      <w:proofErr w:type="spellEnd"/>
      <w:r w:rsidRPr="00C14F35">
        <w:rPr>
          <w:b/>
          <w:bCs/>
          <w:color w:val="365F91" w:themeColor="accent1" w:themeShade="BF"/>
        </w:rPr>
        <w:t xml:space="preserve"> and of </w:t>
      </w:r>
      <w:proofErr w:type="spellStart"/>
      <w:r w:rsidRPr="00C14F35">
        <w:rPr>
          <w:b/>
          <w:bCs/>
          <w:color w:val="365F91" w:themeColor="accent1" w:themeShade="BF"/>
        </w:rPr>
        <w:t>the</w:t>
      </w:r>
      <w:proofErr w:type="spellEnd"/>
      <w:r w:rsidRPr="00C14F35">
        <w:rPr>
          <w:b/>
          <w:bCs/>
          <w:color w:val="365F91" w:themeColor="accent1" w:themeShade="BF"/>
        </w:rPr>
        <w:t xml:space="preserve"> </w:t>
      </w:r>
      <w:proofErr w:type="spellStart"/>
      <w:r w:rsidRPr="00C14F35">
        <w:rPr>
          <w:b/>
          <w:bCs/>
          <w:color w:val="365F91" w:themeColor="accent1" w:themeShade="BF"/>
        </w:rPr>
        <w:t>council</w:t>
      </w:r>
      <w:proofErr w:type="spellEnd"/>
      <w:r w:rsidRPr="00C14F35">
        <w:rPr>
          <w:b/>
          <w:bCs/>
          <w:color w:val="365F91" w:themeColor="accent1" w:themeShade="BF"/>
        </w:rPr>
        <w:t xml:space="preserve"> / 2023/0131 (COD)</w:t>
      </w:r>
    </w:p>
    <w:p w14:paraId="6D771244" w14:textId="77777777" w:rsidR="00FC6CCC" w:rsidRPr="00C14F35" w:rsidRDefault="00FC6CCC" w:rsidP="00E57AC1">
      <w:pPr>
        <w:contextualSpacing/>
        <w:jc w:val="both"/>
        <w:rPr>
          <w:color w:val="auto"/>
        </w:rPr>
      </w:pPr>
      <w:r w:rsidRPr="00C14F35">
        <w:t>1.</w:t>
      </w:r>
      <w:r w:rsidRPr="00C14F35">
        <w:tab/>
      </w:r>
      <w:proofErr w:type="spellStart"/>
      <w:r w:rsidRPr="00C14F35">
        <w:rPr>
          <w:color w:val="auto"/>
          <w:u w:val="single"/>
        </w:rPr>
        <w:t>Article</w:t>
      </w:r>
      <w:proofErr w:type="spellEnd"/>
      <w:r w:rsidRPr="00C14F35">
        <w:rPr>
          <w:color w:val="auto"/>
          <w:u w:val="single"/>
        </w:rPr>
        <w:t xml:space="preserve"> 17 </w:t>
      </w:r>
      <w:proofErr w:type="spellStart"/>
      <w:r w:rsidRPr="00C14F35">
        <w:rPr>
          <w:color w:val="auto"/>
          <w:u w:val="single"/>
        </w:rPr>
        <w:t>Validity</w:t>
      </w:r>
      <w:proofErr w:type="spellEnd"/>
      <w:r w:rsidRPr="00C14F35">
        <w:rPr>
          <w:color w:val="auto"/>
          <w:u w:val="single"/>
        </w:rPr>
        <w:t xml:space="preserve"> and </w:t>
      </w:r>
      <w:proofErr w:type="spellStart"/>
      <w:r w:rsidRPr="00C14F35">
        <w:rPr>
          <w:color w:val="auto"/>
          <w:u w:val="single"/>
        </w:rPr>
        <w:t>renewal</w:t>
      </w:r>
      <w:proofErr w:type="spellEnd"/>
      <w:r w:rsidRPr="00C14F35">
        <w:rPr>
          <w:color w:val="auto"/>
          <w:u w:val="single"/>
        </w:rPr>
        <w:t xml:space="preserve"> of marketing </w:t>
      </w:r>
      <w:proofErr w:type="spellStart"/>
      <w:r w:rsidRPr="00C14F35">
        <w:rPr>
          <w:color w:val="auto"/>
          <w:u w:val="single"/>
        </w:rPr>
        <w:t>authorisations</w:t>
      </w:r>
      <w:proofErr w:type="spellEnd"/>
    </w:p>
    <w:p w14:paraId="0C04B8D0" w14:textId="77777777" w:rsidR="00FC6CCC" w:rsidRPr="00C14F35" w:rsidRDefault="00FC6CCC" w:rsidP="00E57AC1">
      <w:pPr>
        <w:contextualSpacing/>
        <w:jc w:val="both"/>
        <w:rPr>
          <w:color w:val="auto"/>
        </w:rPr>
      </w:pPr>
      <w:r w:rsidRPr="00C14F35">
        <w:rPr>
          <w:color w:val="auto"/>
        </w:rPr>
        <w:t xml:space="preserve">2. /…/ </w:t>
      </w:r>
    </w:p>
    <w:p w14:paraId="2C32ABA7" w14:textId="77777777" w:rsidR="00FC6CCC" w:rsidRPr="00C14F35" w:rsidRDefault="00FC6CCC" w:rsidP="00E57AC1">
      <w:pPr>
        <w:contextualSpacing/>
        <w:jc w:val="both"/>
        <w:rPr>
          <w:color w:val="auto"/>
        </w:rPr>
      </w:pPr>
      <w:r w:rsidRPr="00C14F35">
        <w:rPr>
          <w:color w:val="auto"/>
        </w:rPr>
        <w:t xml:space="preserve">The marketing </w:t>
      </w:r>
      <w:proofErr w:type="spellStart"/>
      <w:r w:rsidRPr="00C14F35">
        <w:rPr>
          <w:color w:val="auto"/>
        </w:rPr>
        <w:t>authorisation</w:t>
      </w:r>
      <w:proofErr w:type="spellEnd"/>
      <w:r w:rsidRPr="00C14F35">
        <w:rPr>
          <w:color w:val="auto"/>
        </w:rPr>
        <w:t xml:space="preserve"> </w:t>
      </w:r>
      <w:proofErr w:type="spellStart"/>
      <w:r w:rsidRPr="00C14F35">
        <w:rPr>
          <w:color w:val="auto"/>
        </w:rPr>
        <w:t>may</w:t>
      </w:r>
      <w:proofErr w:type="spellEnd"/>
      <w:r w:rsidRPr="00C14F35">
        <w:rPr>
          <w:color w:val="auto"/>
        </w:rPr>
        <w:t xml:space="preserve"> </w:t>
      </w:r>
      <w:proofErr w:type="spellStart"/>
      <w:r w:rsidRPr="00C14F35">
        <w:rPr>
          <w:color w:val="auto"/>
        </w:rPr>
        <w:t>be</w:t>
      </w:r>
      <w:proofErr w:type="spellEnd"/>
      <w:r w:rsidRPr="00C14F35">
        <w:rPr>
          <w:color w:val="auto"/>
        </w:rPr>
        <w:t xml:space="preserve"> </w:t>
      </w:r>
      <w:proofErr w:type="spellStart"/>
      <w:r w:rsidRPr="00C14F35">
        <w:rPr>
          <w:color w:val="auto"/>
        </w:rPr>
        <w:t>renewed</w:t>
      </w:r>
      <w:proofErr w:type="spellEnd"/>
      <w:r w:rsidRPr="00C14F35">
        <w:rPr>
          <w:color w:val="auto"/>
        </w:rPr>
        <w:t xml:space="preserve"> on </w:t>
      </w:r>
      <w:proofErr w:type="spellStart"/>
      <w:r w:rsidRPr="00C14F35">
        <w:rPr>
          <w:color w:val="auto"/>
        </w:rPr>
        <w:t>the</w:t>
      </w:r>
      <w:proofErr w:type="spellEnd"/>
      <w:r w:rsidRPr="00C14F35">
        <w:rPr>
          <w:color w:val="auto"/>
        </w:rPr>
        <w:t xml:space="preserve"> </w:t>
      </w:r>
      <w:proofErr w:type="spellStart"/>
      <w:r w:rsidRPr="00C14F35">
        <w:rPr>
          <w:color w:val="auto"/>
        </w:rPr>
        <w:t>basis</w:t>
      </w:r>
      <w:proofErr w:type="spellEnd"/>
      <w:r w:rsidRPr="00C14F35">
        <w:rPr>
          <w:color w:val="auto"/>
        </w:rPr>
        <w:t xml:space="preserve"> of a </w:t>
      </w:r>
      <w:proofErr w:type="spellStart"/>
      <w:r w:rsidRPr="00C14F35">
        <w:rPr>
          <w:color w:val="auto"/>
        </w:rPr>
        <w:t>re-evaluation</w:t>
      </w:r>
      <w:proofErr w:type="spellEnd"/>
      <w:r w:rsidRPr="00C14F35">
        <w:rPr>
          <w:color w:val="auto"/>
        </w:rPr>
        <w:t xml:space="preserve"> by </w:t>
      </w:r>
      <w:proofErr w:type="spellStart"/>
      <w:r w:rsidRPr="00C14F35">
        <w:rPr>
          <w:color w:val="auto"/>
        </w:rPr>
        <w:t>the</w:t>
      </w:r>
      <w:proofErr w:type="spellEnd"/>
      <w:r w:rsidRPr="00C14F35">
        <w:rPr>
          <w:color w:val="auto"/>
        </w:rPr>
        <w:t xml:space="preserve"> Agency of </w:t>
      </w:r>
      <w:proofErr w:type="spellStart"/>
      <w:r w:rsidRPr="00C14F35">
        <w:rPr>
          <w:color w:val="auto"/>
        </w:rPr>
        <w:t>the</w:t>
      </w:r>
      <w:proofErr w:type="spellEnd"/>
      <w:r w:rsidRPr="00C14F35">
        <w:rPr>
          <w:color w:val="auto"/>
        </w:rPr>
        <w:t xml:space="preserve"> </w:t>
      </w:r>
      <w:proofErr w:type="spellStart"/>
      <w:r w:rsidRPr="00C14F35">
        <w:rPr>
          <w:color w:val="auto"/>
        </w:rPr>
        <w:t>benefit</w:t>
      </w:r>
      <w:proofErr w:type="spellEnd"/>
      <w:r w:rsidRPr="00C14F35">
        <w:rPr>
          <w:color w:val="auto"/>
        </w:rPr>
        <w:t xml:space="preserve">-risk </w:t>
      </w:r>
      <w:proofErr w:type="spellStart"/>
      <w:r w:rsidRPr="00C14F35">
        <w:rPr>
          <w:color w:val="auto"/>
        </w:rPr>
        <w:t>balance</w:t>
      </w:r>
      <w:proofErr w:type="spellEnd"/>
      <w:r w:rsidRPr="00C14F35">
        <w:rPr>
          <w:color w:val="auto"/>
        </w:rPr>
        <w:t xml:space="preserve">. </w:t>
      </w:r>
      <w:proofErr w:type="spellStart"/>
      <w:r w:rsidRPr="00C14F35">
        <w:rPr>
          <w:color w:val="auto"/>
        </w:rPr>
        <w:t>Once</w:t>
      </w:r>
      <w:proofErr w:type="spellEnd"/>
      <w:r w:rsidRPr="00C14F35">
        <w:rPr>
          <w:color w:val="auto"/>
        </w:rPr>
        <w:t xml:space="preserve"> </w:t>
      </w:r>
      <w:proofErr w:type="spellStart"/>
      <w:r w:rsidRPr="00C14F35">
        <w:rPr>
          <w:color w:val="auto"/>
        </w:rPr>
        <w:t>renewed</w:t>
      </w:r>
      <w:proofErr w:type="spellEnd"/>
      <w:r w:rsidRPr="00C14F35">
        <w:rPr>
          <w:color w:val="auto"/>
        </w:rPr>
        <w:t xml:space="preserve">, </w:t>
      </w:r>
      <w:proofErr w:type="spellStart"/>
      <w:r w:rsidRPr="00C14F35">
        <w:rPr>
          <w:color w:val="auto"/>
        </w:rPr>
        <w:t>the</w:t>
      </w:r>
      <w:proofErr w:type="spellEnd"/>
      <w:r w:rsidRPr="00C14F35">
        <w:rPr>
          <w:color w:val="auto"/>
        </w:rPr>
        <w:t xml:space="preserve"> marketing </w:t>
      </w:r>
      <w:proofErr w:type="spellStart"/>
      <w:r w:rsidRPr="00C14F35">
        <w:rPr>
          <w:color w:val="auto"/>
        </w:rPr>
        <w:t>authorisation</w:t>
      </w:r>
      <w:proofErr w:type="spellEnd"/>
      <w:r w:rsidRPr="00C14F35">
        <w:rPr>
          <w:color w:val="auto"/>
        </w:rPr>
        <w:t xml:space="preserve"> </w:t>
      </w:r>
      <w:proofErr w:type="spellStart"/>
      <w:r w:rsidRPr="00C14F35">
        <w:rPr>
          <w:color w:val="auto"/>
        </w:rPr>
        <w:t>shall</w:t>
      </w:r>
      <w:proofErr w:type="spellEnd"/>
      <w:r w:rsidRPr="00C14F35">
        <w:rPr>
          <w:color w:val="auto"/>
        </w:rPr>
        <w:t xml:space="preserve"> </w:t>
      </w:r>
      <w:proofErr w:type="spellStart"/>
      <w:r w:rsidRPr="00C14F35">
        <w:rPr>
          <w:color w:val="auto"/>
        </w:rPr>
        <w:t>be</w:t>
      </w:r>
      <w:proofErr w:type="spellEnd"/>
      <w:r w:rsidRPr="00C14F35">
        <w:rPr>
          <w:color w:val="auto"/>
        </w:rPr>
        <w:t xml:space="preserve"> valid </w:t>
      </w:r>
      <w:proofErr w:type="spellStart"/>
      <w:r w:rsidRPr="00C14F35">
        <w:rPr>
          <w:color w:val="auto"/>
        </w:rPr>
        <w:t>for</w:t>
      </w:r>
      <w:proofErr w:type="spellEnd"/>
      <w:r w:rsidRPr="00C14F35">
        <w:rPr>
          <w:color w:val="auto"/>
        </w:rPr>
        <w:t xml:space="preserve"> </w:t>
      </w:r>
      <w:proofErr w:type="spellStart"/>
      <w:r w:rsidRPr="00C14F35">
        <w:rPr>
          <w:color w:val="auto"/>
        </w:rPr>
        <w:t>an</w:t>
      </w:r>
      <w:proofErr w:type="spellEnd"/>
      <w:r w:rsidRPr="00C14F35">
        <w:rPr>
          <w:color w:val="auto"/>
        </w:rPr>
        <w:t xml:space="preserve"> </w:t>
      </w:r>
      <w:proofErr w:type="spellStart"/>
      <w:r w:rsidRPr="00C14F35">
        <w:rPr>
          <w:color w:val="auto"/>
        </w:rPr>
        <w:t>unlimited</w:t>
      </w:r>
      <w:proofErr w:type="spellEnd"/>
      <w:r w:rsidRPr="00C14F35">
        <w:rPr>
          <w:color w:val="auto"/>
        </w:rPr>
        <w:t xml:space="preserve"> </w:t>
      </w:r>
      <w:proofErr w:type="spellStart"/>
      <w:r w:rsidRPr="00C14F35">
        <w:rPr>
          <w:color w:val="auto"/>
        </w:rPr>
        <w:t>period</w:t>
      </w:r>
      <w:proofErr w:type="spellEnd"/>
      <w:r w:rsidRPr="00C14F35">
        <w:rPr>
          <w:color w:val="auto"/>
        </w:rPr>
        <w:t xml:space="preserve">. </w:t>
      </w:r>
    </w:p>
    <w:p w14:paraId="2EEFDFF7" w14:textId="77777777" w:rsidR="00FC6CCC" w:rsidRPr="00C14F35" w:rsidRDefault="00FC6CCC" w:rsidP="00E57AC1">
      <w:pPr>
        <w:contextualSpacing/>
        <w:jc w:val="both"/>
        <w:rPr>
          <w:color w:val="auto"/>
        </w:rPr>
      </w:pPr>
      <w:r w:rsidRPr="00C14F35">
        <w:rPr>
          <w:b/>
          <w:bCs/>
          <w:color w:val="C00000"/>
        </w:rPr>
        <w:t>Küsimus:</w:t>
      </w:r>
      <w:r w:rsidRPr="00C14F35">
        <w:rPr>
          <w:color w:val="C00000"/>
        </w:rPr>
        <w:t xml:space="preserve"> </w:t>
      </w:r>
      <w:r w:rsidRPr="00C14F35">
        <w:rPr>
          <w:color w:val="auto"/>
        </w:rPr>
        <w:t xml:space="preserve">Kas sellisel juhul tuleb müügiloa uuendamise taotlus esitada? </w:t>
      </w:r>
    </w:p>
    <w:p w14:paraId="436FC658" w14:textId="77777777" w:rsidR="00FC6CCC" w:rsidRPr="00C14F35" w:rsidRDefault="00FC6CCC" w:rsidP="00E57AC1">
      <w:pPr>
        <w:contextualSpacing/>
        <w:jc w:val="both"/>
        <w:rPr>
          <w:color w:val="auto"/>
        </w:rPr>
      </w:pPr>
      <w:r w:rsidRPr="00C14F35">
        <w:t>2.</w:t>
      </w:r>
      <w:r w:rsidRPr="00C14F35">
        <w:tab/>
      </w:r>
      <w:proofErr w:type="spellStart"/>
      <w:r w:rsidRPr="00C14F35">
        <w:rPr>
          <w:color w:val="auto"/>
          <w:u w:val="single"/>
        </w:rPr>
        <w:t>Article</w:t>
      </w:r>
      <w:proofErr w:type="spellEnd"/>
      <w:r w:rsidRPr="00C14F35">
        <w:rPr>
          <w:color w:val="auto"/>
          <w:u w:val="single"/>
        </w:rPr>
        <w:t xml:space="preserve"> 49 </w:t>
      </w:r>
      <w:proofErr w:type="spellStart"/>
      <w:r w:rsidRPr="00C14F35">
        <w:rPr>
          <w:color w:val="auto"/>
          <w:u w:val="single"/>
        </w:rPr>
        <w:t>Transfer</w:t>
      </w:r>
      <w:proofErr w:type="spellEnd"/>
      <w:r w:rsidRPr="00C14F35">
        <w:rPr>
          <w:color w:val="auto"/>
          <w:u w:val="single"/>
        </w:rPr>
        <w:t xml:space="preserve"> of marketing </w:t>
      </w:r>
      <w:proofErr w:type="spellStart"/>
      <w:r w:rsidRPr="00C14F35">
        <w:rPr>
          <w:color w:val="auto"/>
          <w:u w:val="single"/>
        </w:rPr>
        <w:t>authorisation</w:t>
      </w:r>
      <w:proofErr w:type="spellEnd"/>
    </w:p>
    <w:p w14:paraId="3218FFFA" w14:textId="77777777" w:rsidR="00FC6CCC" w:rsidRPr="00C14F35" w:rsidRDefault="00FC6CCC" w:rsidP="00E57AC1">
      <w:pPr>
        <w:contextualSpacing/>
        <w:jc w:val="both"/>
        <w:rPr>
          <w:color w:val="auto"/>
        </w:rPr>
      </w:pPr>
      <w:r w:rsidRPr="00C14F35">
        <w:rPr>
          <w:color w:val="auto"/>
        </w:rPr>
        <w:t>1.</w:t>
      </w:r>
      <w:r w:rsidRPr="00C14F35">
        <w:rPr>
          <w:color w:val="auto"/>
        </w:rPr>
        <w:tab/>
        <w:t xml:space="preserve">A marketing </w:t>
      </w:r>
      <w:proofErr w:type="spellStart"/>
      <w:r w:rsidRPr="00C14F35">
        <w:rPr>
          <w:color w:val="auto"/>
        </w:rPr>
        <w:t>authorisation</w:t>
      </w:r>
      <w:proofErr w:type="spellEnd"/>
      <w:r w:rsidRPr="00C14F35">
        <w:rPr>
          <w:color w:val="auto"/>
        </w:rPr>
        <w:t xml:space="preserve"> </w:t>
      </w:r>
      <w:proofErr w:type="spellStart"/>
      <w:r w:rsidRPr="00C14F35">
        <w:rPr>
          <w:color w:val="auto"/>
        </w:rPr>
        <w:t>may</w:t>
      </w:r>
      <w:proofErr w:type="spellEnd"/>
      <w:r w:rsidRPr="00C14F35">
        <w:rPr>
          <w:color w:val="auto"/>
        </w:rPr>
        <w:t xml:space="preserve"> </w:t>
      </w:r>
      <w:proofErr w:type="spellStart"/>
      <w:r w:rsidRPr="00C14F35">
        <w:rPr>
          <w:color w:val="auto"/>
        </w:rPr>
        <w:t>be</w:t>
      </w:r>
      <w:proofErr w:type="spellEnd"/>
      <w:r w:rsidRPr="00C14F35">
        <w:rPr>
          <w:color w:val="auto"/>
        </w:rPr>
        <w:t xml:space="preserve"> </w:t>
      </w:r>
      <w:proofErr w:type="spellStart"/>
      <w:r w:rsidRPr="00C14F35">
        <w:rPr>
          <w:color w:val="auto"/>
        </w:rPr>
        <w:t>transferred</w:t>
      </w:r>
      <w:proofErr w:type="spellEnd"/>
      <w:r w:rsidRPr="00C14F35">
        <w:rPr>
          <w:color w:val="auto"/>
        </w:rPr>
        <w:t xml:space="preserve"> </w:t>
      </w:r>
      <w:proofErr w:type="spellStart"/>
      <w:r w:rsidRPr="00C14F35">
        <w:rPr>
          <w:color w:val="auto"/>
        </w:rPr>
        <w:t>to</w:t>
      </w:r>
      <w:proofErr w:type="spellEnd"/>
      <w:r w:rsidRPr="00C14F35">
        <w:rPr>
          <w:color w:val="auto"/>
        </w:rPr>
        <w:t xml:space="preserve"> a </w:t>
      </w:r>
      <w:proofErr w:type="spellStart"/>
      <w:r w:rsidRPr="00C14F35">
        <w:rPr>
          <w:color w:val="auto"/>
        </w:rPr>
        <w:t>new</w:t>
      </w:r>
      <w:proofErr w:type="spellEnd"/>
      <w:r w:rsidRPr="00C14F35">
        <w:rPr>
          <w:color w:val="auto"/>
        </w:rPr>
        <w:t xml:space="preserve"> marketing </w:t>
      </w:r>
      <w:proofErr w:type="spellStart"/>
      <w:r w:rsidRPr="00C14F35">
        <w:rPr>
          <w:color w:val="auto"/>
        </w:rPr>
        <w:t>authorisation</w:t>
      </w:r>
      <w:proofErr w:type="spellEnd"/>
      <w:r w:rsidRPr="00C14F35">
        <w:rPr>
          <w:color w:val="auto"/>
        </w:rPr>
        <w:t xml:space="preserve"> </w:t>
      </w:r>
      <w:proofErr w:type="spellStart"/>
      <w:r w:rsidRPr="00C14F35">
        <w:rPr>
          <w:color w:val="auto"/>
        </w:rPr>
        <w:t>holder</w:t>
      </w:r>
      <w:proofErr w:type="spellEnd"/>
      <w:r w:rsidRPr="00C14F35">
        <w:rPr>
          <w:color w:val="auto"/>
        </w:rPr>
        <w:t xml:space="preserve">. </w:t>
      </w:r>
      <w:proofErr w:type="spellStart"/>
      <w:r w:rsidRPr="00C14F35">
        <w:rPr>
          <w:color w:val="auto"/>
        </w:rPr>
        <w:t>Such</w:t>
      </w:r>
      <w:proofErr w:type="spellEnd"/>
      <w:r w:rsidRPr="00C14F35">
        <w:rPr>
          <w:color w:val="auto"/>
        </w:rPr>
        <w:t xml:space="preserve"> a </w:t>
      </w:r>
      <w:proofErr w:type="spellStart"/>
      <w:r w:rsidRPr="00C14F35">
        <w:rPr>
          <w:color w:val="auto"/>
        </w:rPr>
        <w:t>transfer</w:t>
      </w:r>
      <w:proofErr w:type="spellEnd"/>
      <w:r w:rsidRPr="00C14F35">
        <w:rPr>
          <w:color w:val="auto"/>
        </w:rPr>
        <w:t xml:space="preserve"> </w:t>
      </w:r>
      <w:proofErr w:type="spellStart"/>
      <w:r w:rsidRPr="00C14F35">
        <w:rPr>
          <w:color w:val="auto"/>
        </w:rPr>
        <w:t>shall</w:t>
      </w:r>
      <w:proofErr w:type="spellEnd"/>
      <w:r w:rsidRPr="00C14F35">
        <w:rPr>
          <w:color w:val="auto"/>
        </w:rPr>
        <w:t xml:space="preserve"> </w:t>
      </w:r>
      <w:proofErr w:type="spellStart"/>
      <w:r w:rsidRPr="00C14F35">
        <w:rPr>
          <w:color w:val="auto"/>
        </w:rPr>
        <w:t>not</w:t>
      </w:r>
      <w:proofErr w:type="spellEnd"/>
      <w:r w:rsidRPr="00C14F35">
        <w:rPr>
          <w:color w:val="auto"/>
        </w:rPr>
        <w:t xml:space="preserve"> </w:t>
      </w:r>
      <w:proofErr w:type="spellStart"/>
      <w:r w:rsidRPr="00C14F35">
        <w:rPr>
          <w:color w:val="auto"/>
        </w:rPr>
        <w:t>be</w:t>
      </w:r>
      <w:proofErr w:type="spellEnd"/>
      <w:r w:rsidRPr="00C14F35">
        <w:rPr>
          <w:color w:val="auto"/>
        </w:rPr>
        <w:t xml:space="preserve"> </w:t>
      </w:r>
      <w:proofErr w:type="spellStart"/>
      <w:r w:rsidRPr="00C14F35">
        <w:rPr>
          <w:color w:val="auto"/>
        </w:rPr>
        <w:t>considered</w:t>
      </w:r>
      <w:proofErr w:type="spellEnd"/>
      <w:r w:rsidRPr="00C14F35">
        <w:rPr>
          <w:color w:val="auto"/>
        </w:rPr>
        <w:t xml:space="preserve"> </w:t>
      </w:r>
      <w:proofErr w:type="spellStart"/>
      <w:r w:rsidRPr="00C14F35">
        <w:rPr>
          <w:color w:val="auto"/>
        </w:rPr>
        <w:t>to</w:t>
      </w:r>
      <w:proofErr w:type="spellEnd"/>
      <w:r w:rsidRPr="00C14F35">
        <w:rPr>
          <w:color w:val="auto"/>
        </w:rPr>
        <w:t xml:space="preserve"> </w:t>
      </w:r>
      <w:proofErr w:type="spellStart"/>
      <w:r w:rsidRPr="00C14F35">
        <w:rPr>
          <w:color w:val="auto"/>
        </w:rPr>
        <w:t>be</w:t>
      </w:r>
      <w:proofErr w:type="spellEnd"/>
      <w:r w:rsidRPr="00C14F35">
        <w:rPr>
          <w:color w:val="auto"/>
        </w:rPr>
        <w:t xml:space="preserve"> a </w:t>
      </w:r>
      <w:proofErr w:type="spellStart"/>
      <w:r w:rsidRPr="00C14F35">
        <w:rPr>
          <w:color w:val="auto"/>
        </w:rPr>
        <w:t>variation</w:t>
      </w:r>
      <w:proofErr w:type="spellEnd"/>
      <w:r w:rsidRPr="00C14F35">
        <w:rPr>
          <w:color w:val="auto"/>
        </w:rPr>
        <w:t xml:space="preserve">. The </w:t>
      </w:r>
      <w:proofErr w:type="spellStart"/>
      <w:r w:rsidRPr="00C14F35">
        <w:rPr>
          <w:color w:val="auto"/>
        </w:rPr>
        <w:t>transfer</w:t>
      </w:r>
      <w:proofErr w:type="spellEnd"/>
      <w:r w:rsidRPr="00C14F35">
        <w:rPr>
          <w:color w:val="auto"/>
        </w:rPr>
        <w:t xml:space="preserve"> </w:t>
      </w:r>
      <w:proofErr w:type="spellStart"/>
      <w:r w:rsidRPr="00C14F35">
        <w:rPr>
          <w:color w:val="auto"/>
        </w:rPr>
        <w:t>shall</w:t>
      </w:r>
      <w:proofErr w:type="spellEnd"/>
      <w:r w:rsidRPr="00C14F35">
        <w:rPr>
          <w:color w:val="auto"/>
        </w:rPr>
        <w:t xml:space="preserve"> </w:t>
      </w:r>
      <w:proofErr w:type="spellStart"/>
      <w:r w:rsidRPr="00C14F35">
        <w:rPr>
          <w:color w:val="auto"/>
        </w:rPr>
        <w:t>be</w:t>
      </w:r>
      <w:proofErr w:type="spellEnd"/>
      <w:r w:rsidRPr="00C14F35">
        <w:rPr>
          <w:color w:val="auto"/>
        </w:rPr>
        <w:t xml:space="preserve"> </w:t>
      </w:r>
      <w:proofErr w:type="spellStart"/>
      <w:r w:rsidRPr="00C14F35">
        <w:rPr>
          <w:color w:val="auto"/>
        </w:rPr>
        <w:t>subject</w:t>
      </w:r>
      <w:proofErr w:type="spellEnd"/>
      <w:r w:rsidRPr="00C14F35">
        <w:rPr>
          <w:color w:val="auto"/>
        </w:rPr>
        <w:t xml:space="preserve"> </w:t>
      </w:r>
      <w:proofErr w:type="spellStart"/>
      <w:r w:rsidRPr="00C14F35">
        <w:rPr>
          <w:color w:val="auto"/>
        </w:rPr>
        <w:t>to</w:t>
      </w:r>
      <w:proofErr w:type="spellEnd"/>
      <w:r w:rsidRPr="00C14F35">
        <w:rPr>
          <w:color w:val="auto"/>
        </w:rPr>
        <w:t xml:space="preserve"> prior </w:t>
      </w:r>
      <w:proofErr w:type="spellStart"/>
      <w:r w:rsidRPr="00C14F35">
        <w:rPr>
          <w:color w:val="auto"/>
        </w:rPr>
        <w:t>approval</w:t>
      </w:r>
      <w:proofErr w:type="spellEnd"/>
      <w:r w:rsidRPr="00C14F35">
        <w:rPr>
          <w:color w:val="auto"/>
        </w:rPr>
        <w:t xml:space="preserve"> by </w:t>
      </w:r>
      <w:proofErr w:type="spellStart"/>
      <w:r w:rsidRPr="00C14F35">
        <w:rPr>
          <w:color w:val="auto"/>
        </w:rPr>
        <w:t>the</w:t>
      </w:r>
      <w:proofErr w:type="spellEnd"/>
      <w:r w:rsidRPr="00C14F35">
        <w:rPr>
          <w:color w:val="auto"/>
        </w:rPr>
        <w:t xml:space="preserve"> </w:t>
      </w:r>
      <w:proofErr w:type="spellStart"/>
      <w:r w:rsidRPr="00C14F35">
        <w:rPr>
          <w:color w:val="auto"/>
        </w:rPr>
        <w:t>Commission</w:t>
      </w:r>
      <w:proofErr w:type="spellEnd"/>
      <w:r w:rsidRPr="00C14F35">
        <w:rPr>
          <w:color w:val="auto"/>
        </w:rPr>
        <w:t xml:space="preserve">, by </w:t>
      </w:r>
      <w:proofErr w:type="spellStart"/>
      <w:r w:rsidRPr="00C14F35">
        <w:rPr>
          <w:color w:val="auto"/>
        </w:rPr>
        <w:t>means</w:t>
      </w:r>
      <w:proofErr w:type="spellEnd"/>
      <w:r w:rsidRPr="00C14F35">
        <w:rPr>
          <w:color w:val="auto"/>
        </w:rPr>
        <w:t xml:space="preserve"> of </w:t>
      </w:r>
      <w:proofErr w:type="spellStart"/>
      <w:r w:rsidRPr="00C14F35">
        <w:rPr>
          <w:color w:val="auto"/>
        </w:rPr>
        <w:t>implementing</w:t>
      </w:r>
      <w:proofErr w:type="spellEnd"/>
      <w:r w:rsidRPr="00C14F35">
        <w:rPr>
          <w:color w:val="auto"/>
        </w:rPr>
        <w:t xml:space="preserve"> </w:t>
      </w:r>
      <w:proofErr w:type="spellStart"/>
      <w:r w:rsidRPr="00C14F35">
        <w:rPr>
          <w:color w:val="auto"/>
        </w:rPr>
        <w:t>acts</w:t>
      </w:r>
      <w:proofErr w:type="spellEnd"/>
      <w:r w:rsidRPr="00C14F35">
        <w:rPr>
          <w:color w:val="auto"/>
        </w:rPr>
        <w:t xml:space="preserve">, following </w:t>
      </w:r>
      <w:proofErr w:type="spellStart"/>
      <w:r w:rsidRPr="00C14F35">
        <w:rPr>
          <w:color w:val="auto"/>
        </w:rPr>
        <w:t>the</w:t>
      </w:r>
      <w:proofErr w:type="spellEnd"/>
      <w:r w:rsidRPr="00C14F35">
        <w:rPr>
          <w:color w:val="auto"/>
        </w:rPr>
        <w:t xml:space="preserve"> </w:t>
      </w:r>
      <w:proofErr w:type="spellStart"/>
      <w:r w:rsidRPr="00C14F35">
        <w:rPr>
          <w:color w:val="auto"/>
        </w:rPr>
        <w:t>submission</w:t>
      </w:r>
      <w:proofErr w:type="spellEnd"/>
      <w:r w:rsidRPr="00C14F35">
        <w:rPr>
          <w:color w:val="auto"/>
        </w:rPr>
        <w:t xml:space="preserve"> of </w:t>
      </w:r>
      <w:proofErr w:type="spellStart"/>
      <w:r w:rsidRPr="00C14F35">
        <w:rPr>
          <w:color w:val="auto"/>
        </w:rPr>
        <w:t>an</w:t>
      </w:r>
      <w:proofErr w:type="spellEnd"/>
      <w:r w:rsidRPr="00C14F35">
        <w:rPr>
          <w:color w:val="auto"/>
        </w:rPr>
        <w:t xml:space="preserve"> </w:t>
      </w:r>
      <w:proofErr w:type="spellStart"/>
      <w:r w:rsidRPr="00C14F35">
        <w:rPr>
          <w:color w:val="auto"/>
        </w:rPr>
        <w:t>application</w:t>
      </w:r>
      <w:proofErr w:type="spellEnd"/>
      <w:r w:rsidRPr="00C14F35">
        <w:rPr>
          <w:color w:val="auto"/>
        </w:rPr>
        <w:t xml:space="preserve"> </w:t>
      </w:r>
      <w:proofErr w:type="spellStart"/>
      <w:r w:rsidRPr="00C14F35">
        <w:rPr>
          <w:color w:val="auto"/>
        </w:rPr>
        <w:t>for</w:t>
      </w:r>
      <w:proofErr w:type="spellEnd"/>
      <w:r w:rsidRPr="00C14F35">
        <w:rPr>
          <w:color w:val="auto"/>
        </w:rPr>
        <w:t xml:space="preserve"> </w:t>
      </w:r>
      <w:proofErr w:type="spellStart"/>
      <w:r w:rsidRPr="00C14F35">
        <w:rPr>
          <w:color w:val="auto"/>
        </w:rPr>
        <w:t>the</w:t>
      </w:r>
      <w:proofErr w:type="spellEnd"/>
      <w:r w:rsidRPr="00C14F35">
        <w:rPr>
          <w:color w:val="auto"/>
        </w:rPr>
        <w:t xml:space="preserve"> </w:t>
      </w:r>
      <w:proofErr w:type="spellStart"/>
      <w:r w:rsidRPr="00C14F35">
        <w:rPr>
          <w:color w:val="auto"/>
        </w:rPr>
        <w:t>transfer</w:t>
      </w:r>
      <w:proofErr w:type="spellEnd"/>
      <w:r w:rsidRPr="00C14F35">
        <w:rPr>
          <w:color w:val="auto"/>
        </w:rPr>
        <w:t xml:space="preserve"> </w:t>
      </w:r>
      <w:proofErr w:type="spellStart"/>
      <w:r w:rsidRPr="00C14F35">
        <w:rPr>
          <w:color w:val="auto"/>
        </w:rPr>
        <w:t>to</w:t>
      </w:r>
      <w:proofErr w:type="spellEnd"/>
      <w:r w:rsidRPr="00C14F35">
        <w:rPr>
          <w:color w:val="auto"/>
        </w:rPr>
        <w:t xml:space="preserve"> </w:t>
      </w:r>
      <w:proofErr w:type="spellStart"/>
      <w:r w:rsidRPr="00C14F35">
        <w:rPr>
          <w:color w:val="auto"/>
        </w:rPr>
        <w:t>the</w:t>
      </w:r>
      <w:proofErr w:type="spellEnd"/>
      <w:r w:rsidRPr="00C14F35">
        <w:rPr>
          <w:color w:val="auto"/>
        </w:rPr>
        <w:t xml:space="preserve"> Agency. </w:t>
      </w:r>
    </w:p>
    <w:p w14:paraId="0420E3C7" w14:textId="405B02F1" w:rsidR="00FC6CCC" w:rsidRPr="00C14F35" w:rsidRDefault="00FC6CCC" w:rsidP="00E57AC1">
      <w:pPr>
        <w:contextualSpacing/>
        <w:jc w:val="both"/>
        <w:rPr>
          <w:color w:val="auto"/>
        </w:rPr>
      </w:pPr>
      <w:r w:rsidRPr="00C14F35">
        <w:rPr>
          <w:b/>
          <w:bCs/>
          <w:color w:val="C00000"/>
        </w:rPr>
        <w:t>Küsimus:</w:t>
      </w:r>
      <w:r w:rsidRPr="00C14F35">
        <w:rPr>
          <w:color w:val="C00000"/>
        </w:rPr>
        <w:t xml:space="preserve"> </w:t>
      </w:r>
      <w:r w:rsidRPr="00C14F35">
        <w:rPr>
          <w:color w:val="auto"/>
        </w:rPr>
        <w:t>„</w:t>
      </w:r>
      <w:proofErr w:type="spellStart"/>
      <w:r w:rsidRPr="00C14F35">
        <w:rPr>
          <w:color w:val="auto"/>
        </w:rPr>
        <w:t>Guidelines</w:t>
      </w:r>
      <w:proofErr w:type="spellEnd"/>
      <w:r w:rsidRPr="00C14F35">
        <w:rPr>
          <w:color w:val="auto"/>
        </w:rPr>
        <w:t xml:space="preserve"> on </w:t>
      </w:r>
      <w:proofErr w:type="spellStart"/>
      <w:r w:rsidRPr="00C14F35">
        <w:rPr>
          <w:color w:val="auto"/>
        </w:rPr>
        <w:t>the</w:t>
      </w:r>
      <w:proofErr w:type="spellEnd"/>
      <w:r w:rsidRPr="00C14F35">
        <w:rPr>
          <w:color w:val="auto"/>
        </w:rPr>
        <w:t xml:space="preserve"> </w:t>
      </w:r>
      <w:proofErr w:type="spellStart"/>
      <w:r w:rsidRPr="00C14F35">
        <w:rPr>
          <w:color w:val="auto"/>
        </w:rPr>
        <w:t>details</w:t>
      </w:r>
      <w:proofErr w:type="spellEnd"/>
      <w:r w:rsidRPr="00C14F35">
        <w:rPr>
          <w:color w:val="auto"/>
        </w:rPr>
        <w:t xml:space="preserve"> of </w:t>
      </w:r>
      <w:proofErr w:type="spellStart"/>
      <w:r w:rsidRPr="00C14F35">
        <w:rPr>
          <w:color w:val="auto"/>
        </w:rPr>
        <w:t>the</w:t>
      </w:r>
      <w:proofErr w:type="spellEnd"/>
      <w:r w:rsidRPr="00C14F35">
        <w:rPr>
          <w:color w:val="auto"/>
        </w:rPr>
        <w:t xml:space="preserve"> </w:t>
      </w:r>
      <w:proofErr w:type="spellStart"/>
      <w:r w:rsidRPr="00C14F35">
        <w:rPr>
          <w:color w:val="auto"/>
        </w:rPr>
        <w:t>various</w:t>
      </w:r>
      <w:proofErr w:type="spellEnd"/>
      <w:r w:rsidRPr="00C14F35">
        <w:rPr>
          <w:color w:val="auto"/>
        </w:rPr>
        <w:t xml:space="preserve"> </w:t>
      </w:r>
      <w:proofErr w:type="spellStart"/>
      <w:r w:rsidRPr="00C14F35">
        <w:rPr>
          <w:color w:val="auto"/>
        </w:rPr>
        <w:t>categories</w:t>
      </w:r>
      <w:proofErr w:type="spellEnd"/>
      <w:r w:rsidRPr="00C14F35">
        <w:rPr>
          <w:color w:val="auto"/>
        </w:rPr>
        <w:t xml:space="preserve"> of </w:t>
      </w:r>
      <w:proofErr w:type="spellStart"/>
      <w:r w:rsidRPr="00C14F35">
        <w:rPr>
          <w:color w:val="auto"/>
        </w:rPr>
        <w:t>variations</w:t>
      </w:r>
      <w:proofErr w:type="spellEnd"/>
      <w:r w:rsidRPr="00C14F35">
        <w:rPr>
          <w:color w:val="auto"/>
        </w:rPr>
        <w:t xml:space="preserve">…of </w:t>
      </w:r>
      <w:proofErr w:type="spellStart"/>
      <w:r w:rsidRPr="00C14F35">
        <w:rPr>
          <w:color w:val="auto"/>
        </w:rPr>
        <w:t>Commission</w:t>
      </w:r>
      <w:proofErr w:type="spellEnd"/>
      <w:r w:rsidRPr="00C14F35">
        <w:rPr>
          <w:color w:val="auto"/>
        </w:rPr>
        <w:t xml:space="preserve"> </w:t>
      </w:r>
      <w:proofErr w:type="spellStart"/>
      <w:r w:rsidRPr="00C14F35">
        <w:rPr>
          <w:color w:val="auto"/>
        </w:rPr>
        <w:t>Regulation</w:t>
      </w:r>
      <w:proofErr w:type="spellEnd"/>
      <w:r w:rsidRPr="00C14F35">
        <w:rPr>
          <w:color w:val="auto"/>
        </w:rPr>
        <w:t xml:space="preserve"> (EC) No 1234/2008 “  nõuab sellise muudatuse esitamist.  A.1 </w:t>
      </w:r>
      <w:proofErr w:type="spellStart"/>
      <w:r w:rsidRPr="00C14F35">
        <w:rPr>
          <w:color w:val="auto"/>
        </w:rPr>
        <w:t>Change</w:t>
      </w:r>
      <w:proofErr w:type="spellEnd"/>
      <w:r w:rsidRPr="00C14F35">
        <w:rPr>
          <w:color w:val="auto"/>
        </w:rPr>
        <w:t xml:space="preserve"> in </w:t>
      </w:r>
      <w:proofErr w:type="spellStart"/>
      <w:r w:rsidRPr="00C14F35">
        <w:rPr>
          <w:color w:val="auto"/>
        </w:rPr>
        <w:t>the</w:t>
      </w:r>
      <w:proofErr w:type="spellEnd"/>
      <w:r w:rsidRPr="00C14F35">
        <w:rPr>
          <w:color w:val="auto"/>
        </w:rPr>
        <w:t xml:space="preserve"> </w:t>
      </w:r>
      <w:proofErr w:type="spellStart"/>
      <w:r w:rsidRPr="00C14F35">
        <w:rPr>
          <w:color w:val="auto"/>
        </w:rPr>
        <w:t>name</w:t>
      </w:r>
      <w:proofErr w:type="spellEnd"/>
      <w:r w:rsidRPr="00C14F35">
        <w:rPr>
          <w:color w:val="auto"/>
        </w:rPr>
        <w:t xml:space="preserve"> and/</w:t>
      </w:r>
      <w:proofErr w:type="spellStart"/>
      <w:r w:rsidRPr="00C14F35">
        <w:rPr>
          <w:color w:val="auto"/>
        </w:rPr>
        <w:t>or</w:t>
      </w:r>
      <w:proofErr w:type="spellEnd"/>
      <w:r w:rsidRPr="00C14F35">
        <w:rPr>
          <w:color w:val="auto"/>
        </w:rPr>
        <w:t xml:space="preserve"> </w:t>
      </w:r>
      <w:proofErr w:type="spellStart"/>
      <w:r w:rsidRPr="00C14F35">
        <w:rPr>
          <w:color w:val="auto"/>
        </w:rPr>
        <w:t>address</w:t>
      </w:r>
      <w:proofErr w:type="spellEnd"/>
      <w:r w:rsidRPr="00C14F35">
        <w:rPr>
          <w:color w:val="auto"/>
        </w:rPr>
        <w:t xml:space="preserve"> of </w:t>
      </w:r>
      <w:proofErr w:type="spellStart"/>
      <w:r w:rsidRPr="00C14F35">
        <w:rPr>
          <w:color w:val="auto"/>
        </w:rPr>
        <w:t>the</w:t>
      </w:r>
      <w:proofErr w:type="spellEnd"/>
      <w:r w:rsidRPr="00C14F35">
        <w:rPr>
          <w:color w:val="auto"/>
        </w:rPr>
        <w:t xml:space="preserve"> marketing </w:t>
      </w:r>
      <w:proofErr w:type="spellStart"/>
      <w:r w:rsidRPr="00C14F35">
        <w:rPr>
          <w:color w:val="auto"/>
        </w:rPr>
        <w:t>authorisation</w:t>
      </w:r>
      <w:proofErr w:type="spellEnd"/>
      <w:r w:rsidRPr="00C14F35">
        <w:rPr>
          <w:color w:val="auto"/>
        </w:rPr>
        <w:t xml:space="preserve"> </w:t>
      </w:r>
      <w:proofErr w:type="spellStart"/>
      <w:r w:rsidRPr="00C14F35">
        <w:rPr>
          <w:color w:val="auto"/>
        </w:rPr>
        <w:t>holder</w:t>
      </w:r>
      <w:proofErr w:type="spellEnd"/>
      <w:r w:rsidRPr="00C14F35">
        <w:rPr>
          <w:color w:val="auto"/>
        </w:rPr>
        <w:t>.</w:t>
      </w:r>
    </w:p>
    <w:p w14:paraId="2D5EF0BF" w14:textId="3549D719" w:rsidR="00FC6CCC" w:rsidRPr="00C14F35" w:rsidRDefault="00FC6CCC" w:rsidP="00E57AC1">
      <w:pPr>
        <w:contextualSpacing/>
        <w:jc w:val="both"/>
        <w:rPr>
          <w:color w:val="auto"/>
        </w:rPr>
      </w:pPr>
      <w:r w:rsidRPr="00C14F35">
        <w:rPr>
          <w:color w:val="auto"/>
        </w:rPr>
        <w:t>Kas ravimi muudatuste määruses (</w:t>
      </w:r>
      <w:proofErr w:type="spellStart"/>
      <w:r w:rsidRPr="00C14F35">
        <w:rPr>
          <w:color w:val="auto"/>
        </w:rPr>
        <w:t>Variation</w:t>
      </w:r>
      <w:proofErr w:type="spellEnd"/>
      <w:r w:rsidRPr="00C14F35">
        <w:rPr>
          <w:color w:val="auto"/>
        </w:rPr>
        <w:t xml:space="preserve"> </w:t>
      </w:r>
      <w:proofErr w:type="spellStart"/>
      <w:r w:rsidRPr="00C14F35">
        <w:rPr>
          <w:color w:val="auto"/>
        </w:rPr>
        <w:t>Guideline</w:t>
      </w:r>
      <w:proofErr w:type="spellEnd"/>
      <w:r w:rsidRPr="00C14F35">
        <w:rPr>
          <w:color w:val="auto"/>
        </w:rPr>
        <w:t>) tulevad ka uuendused?</w:t>
      </w:r>
    </w:p>
    <w:p w14:paraId="72089ED1" w14:textId="77777777" w:rsidR="00721A4D" w:rsidRPr="00C14F35" w:rsidRDefault="00721A4D" w:rsidP="00E57AC1">
      <w:pPr>
        <w:contextualSpacing/>
        <w:jc w:val="both"/>
        <w:rPr>
          <w:color w:val="auto"/>
        </w:rPr>
      </w:pPr>
    </w:p>
    <w:p w14:paraId="2E469AFE" w14:textId="77777777" w:rsidR="00FC6CCC" w:rsidRPr="00C14F35" w:rsidRDefault="00FC6CCC" w:rsidP="00E57AC1">
      <w:pPr>
        <w:contextualSpacing/>
        <w:jc w:val="both"/>
        <w:rPr>
          <w:b/>
          <w:bCs/>
          <w:color w:val="365F91" w:themeColor="accent1" w:themeShade="BF"/>
        </w:rPr>
      </w:pPr>
      <w:r w:rsidRPr="00C14F35">
        <w:rPr>
          <w:b/>
          <w:bCs/>
          <w:color w:val="365F91" w:themeColor="accent1" w:themeShade="BF"/>
        </w:rPr>
        <w:t>DIRECTIVE OF THE EUROPEAN PARLIAMENT AND OF THE COUNCIL</w:t>
      </w:r>
    </w:p>
    <w:p w14:paraId="65B4C050" w14:textId="77777777" w:rsidR="00FC6CCC" w:rsidRPr="00C14F35" w:rsidRDefault="00FC6CCC" w:rsidP="00E57AC1">
      <w:pPr>
        <w:contextualSpacing/>
        <w:jc w:val="both"/>
        <w:rPr>
          <w:color w:val="auto"/>
        </w:rPr>
      </w:pPr>
      <w:r w:rsidRPr="00C14F35">
        <w:rPr>
          <w:color w:val="auto"/>
        </w:rPr>
        <w:t xml:space="preserve">on </w:t>
      </w:r>
      <w:proofErr w:type="spellStart"/>
      <w:r w:rsidRPr="00C14F35">
        <w:rPr>
          <w:color w:val="auto"/>
        </w:rPr>
        <w:t>the</w:t>
      </w:r>
      <w:proofErr w:type="spellEnd"/>
      <w:r w:rsidRPr="00C14F35">
        <w:rPr>
          <w:color w:val="auto"/>
        </w:rPr>
        <w:t xml:space="preserve"> </w:t>
      </w:r>
      <w:proofErr w:type="spellStart"/>
      <w:r w:rsidRPr="00C14F35">
        <w:rPr>
          <w:color w:val="auto"/>
        </w:rPr>
        <w:t>Union</w:t>
      </w:r>
      <w:proofErr w:type="spellEnd"/>
      <w:r w:rsidRPr="00C14F35">
        <w:rPr>
          <w:color w:val="auto"/>
        </w:rPr>
        <w:t xml:space="preserve"> </w:t>
      </w:r>
      <w:proofErr w:type="spellStart"/>
      <w:r w:rsidRPr="00C14F35">
        <w:rPr>
          <w:color w:val="auto"/>
        </w:rPr>
        <w:t>code</w:t>
      </w:r>
      <w:proofErr w:type="spellEnd"/>
      <w:r w:rsidRPr="00C14F35">
        <w:rPr>
          <w:color w:val="auto"/>
        </w:rPr>
        <w:t xml:space="preserve"> </w:t>
      </w:r>
      <w:proofErr w:type="spellStart"/>
      <w:r w:rsidRPr="00C14F35">
        <w:rPr>
          <w:color w:val="auto"/>
        </w:rPr>
        <w:t>relating</w:t>
      </w:r>
      <w:proofErr w:type="spellEnd"/>
      <w:r w:rsidRPr="00C14F35">
        <w:rPr>
          <w:color w:val="auto"/>
        </w:rPr>
        <w:t xml:space="preserve"> </w:t>
      </w:r>
      <w:proofErr w:type="spellStart"/>
      <w:r w:rsidRPr="00C14F35">
        <w:rPr>
          <w:color w:val="auto"/>
        </w:rPr>
        <w:t>to</w:t>
      </w:r>
      <w:proofErr w:type="spellEnd"/>
      <w:r w:rsidRPr="00C14F35">
        <w:rPr>
          <w:color w:val="auto"/>
        </w:rPr>
        <w:t xml:space="preserve"> </w:t>
      </w:r>
      <w:proofErr w:type="spellStart"/>
      <w:r w:rsidRPr="00C14F35">
        <w:rPr>
          <w:color w:val="auto"/>
        </w:rPr>
        <w:t>medicinal</w:t>
      </w:r>
      <w:proofErr w:type="spellEnd"/>
      <w:r w:rsidRPr="00C14F35">
        <w:rPr>
          <w:color w:val="auto"/>
        </w:rPr>
        <w:t xml:space="preserve"> </w:t>
      </w:r>
      <w:proofErr w:type="spellStart"/>
      <w:r w:rsidRPr="00C14F35">
        <w:rPr>
          <w:color w:val="auto"/>
        </w:rPr>
        <w:t>products</w:t>
      </w:r>
      <w:proofErr w:type="spellEnd"/>
      <w:r w:rsidRPr="00C14F35">
        <w:rPr>
          <w:color w:val="auto"/>
        </w:rPr>
        <w:t xml:space="preserve"> </w:t>
      </w:r>
      <w:proofErr w:type="spellStart"/>
      <w:r w:rsidRPr="00C14F35">
        <w:rPr>
          <w:color w:val="auto"/>
        </w:rPr>
        <w:t>for</w:t>
      </w:r>
      <w:proofErr w:type="spellEnd"/>
      <w:r w:rsidRPr="00C14F35">
        <w:rPr>
          <w:color w:val="auto"/>
        </w:rPr>
        <w:t xml:space="preserve"> </w:t>
      </w:r>
      <w:proofErr w:type="spellStart"/>
      <w:r w:rsidRPr="00C14F35">
        <w:rPr>
          <w:color w:val="auto"/>
        </w:rPr>
        <w:t>human</w:t>
      </w:r>
      <w:proofErr w:type="spellEnd"/>
      <w:r w:rsidRPr="00C14F35">
        <w:rPr>
          <w:color w:val="auto"/>
        </w:rPr>
        <w:t xml:space="preserve"> </w:t>
      </w:r>
      <w:proofErr w:type="spellStart"/>
      <w:r w:rsidRPr="00C14F35">
        <w:rPr>
          <w:color w:val="auto"/>
        </w:rPr>
        <w:t>use</w:t>
      </w:r>
      <w:proofErr w:type="spellEnd"/>
      <w:r w:rsidRPr="00C14F35">
        <w:rPr>
          <w:color w:val="auto"/>
        </w:rPr>
        <w:t xml:space="preserve">, and </w:t>
      </w:r>
      <w:proofErr w:type="spellStart"/>
      <w:r w:rsidRPr="00C14F35">
        <w:rPr>
          <w:color w:val="auto"/>
        </w:rPr>
        <w:t>repealing</w:t>
      </w:r>
      <w:proofErr w:type="spellEnd"/>
      <w:r w:rsidRPr="00C14F35">
        <w:rPr>
          <w:color w:val="auto"/>
        </w:rPr>
        <w:t xml:space="preserve"> </w:t>
      </w:r>
      <w:proofErr w:type="spellStart"/>
      <w:r w:rsidRPr="00C14F35">
        <w:rPr>
          <w:color w:val="auto"/>
        </w:rPr>
        <w:t>Directive</w:t>
      </w:r>
      <w:proofErr w:type="spellEnd"/>
      <w:r w:rsidRPr="00C14F35">
        <w:rPr>
          <w:color w:val="auto"/>
        </w:rPr>
        <w:t xml:space="preserve"> 2001/83/EC and </w:t>
      </w:r>
      <w:proofErr w:type="spellStart"/>
      <w:r w:rsidRPr="00C14F35">
        <w:rPr>
          <w:color w:val="auto"/>
        </w:rPr>
        <w:t>Directive</w:t>
      </w:r>
      <w:proofErr w:type="spellEnd"/>
      <w:r w:rsidRPr="00C14F35">
        <w:rPr>
          <w:color w:val="auto"/>
        </w:rPr>
        <w:t xml:space="preserve"> 2009/35/EC</w:t>
      </w:r>
    </w:p>
    <w:p w14:paraId="6242A62F" w14:textId="77777777" w:rsidR="00FC6CCC" w:rsidRPr="00C14F35" w:rsidRDefault="00FC6CCC" w:rsidP="00E57AC1">
      <w:pPr>
        <w:pStyle w:val="Loendilik"/>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9" w:lineRule="auto"/>
        <w:contextualSpacing/>
        <w:jc w:val="both"/>
        <w:rPr>
          <w:lang w:val="et-EE"/>
        </w:rPr>
      </w:pPr>
      <w:r w:rsidRPr="00C14F35">
        <w:rPr>
          <w:lang w:val="et-EE"/>
        </w:rPr>
        <w:t xml:space="preserve">(129)     </w:t>
      </w:r>
      <w:proofErr w:type="spellStart"/>
      <w:r w:rsidRPr="00C14F35">
        <w:rPr>
          <w:lang w:val="et-EE"/>
        </w:rPr>
        <w:t>Where</w:t>
      </w:r>
      <w:proofErr w:type="spellEnd"/>
      <w:r w:rsidRPr="00C14F35">
        <w:rPr>
          <w:lang w:val="et-EE"/>
        </w:rPr>
        <w:t xml:space="preserve"> </w:t>
      </w:r>
      <w:proofErr w:type="spellStart"/>
      <w:r w:rsidRPr="00C14F35">
        <w:rPr>
          <w:lang w:val="et-EE"/>
        </w:rPr>
        <w:t>Member</w:t>
      </w:r>
      <w:proofErr w:type="spellEnd"/>
      <w:r w:rsidRPr="00C14F35">
        <w:rPr>
          <w:lang w:val="et-EE"/>
        </w:rPr>
        <w:t xml:space="preserve"> </w:t>
      </w:r>
      <w:proofErr w:type="spellStart"/>
      <w:r w:rsidRPr="00C14F35">
        <w:rPr>
          <w:lang w:val="et-EE"/>
        </w:rPr>
        <w:t>States</w:t>
      </w:r>
      <w:proofErr w:type="spellEnd"/>
      <w:r w:rsidRPr="00C14F35">
        <w:rPr>
          <w:lang w:val="et-EE"/>
        </w:rPr>
        <w:t xml:space="preserve"> </w:t>
      </w:r>
      <w:proofErr w:type="spellStart"/>
      <w:r w:rsidRPr="00C14F35">
        <w:rPr>
          <w:lang w:val="et-EE"/>
        </w:rPr>
        <w:t>decide</w:t>
      </w:r>
      <w:proofErr w:type="spellEnd"/>
      <w:r w:rsidRPr="00C14F35">
        <w:rPr>
          <w:lang w:val="et-EE"/>
        </w:rPr>
        <w:t xml:space="preserve"> </w:t>
      </w:r>
      <w:proofErr w:type="spellStart"/>
      <w:r w:rsidRPr="00C14F35">
        <w:rPr>
          <w:lang w:val="et-EE"/>
        </w:rPr>
        <w:t>that</w:t>
      </w:r>
      <w:proofErr w:type="spellEnd"/>
      <w:r w:rsidRPr="00C14F35">
        <w:rPr>
          <w:lang w:val="et-EE"/>
        </w:rPr>
        <w:t xml:space="preserve"> </w:t>
      </w:r>
      <w:proofErr w:type="spellStart"/>
      <w:r w:rsidRPr="00C14F35">
        <w:rPr>
          <w:lang w:val="et-EE"/>
        </w:rPr>
        <w:t>the</w:t>
      </w:r>
      <w:proofErr w:type="spellEnd"/>
      <w:r w:rsidRPr="00C14F35">
        <w:rPr>
          <w:lang w:val="et-EE"/>
        </w:rPr>
        <w:t xml:space="preserve"> </w:t>
      </w:r>
      <w:proofErr w:type="spellStart"/>
      <w:r w:rsidRPr="00C14F35">
        <w:rPr>
          <w:lang w:val="et-EE"/>
        </w:rPr>
        <w:t>package</w:t>
      </w:r>
      <w:proofErr w:type="spellEnd"/>
      <w:r w:rsidRPr="00C14F35">
        <w:rPr>
          <w:lang w:val="et-EE"/>
        </w:rPr>
        <w:t xml:space="preserve"> </w:t>
      </w:r>
      <w:proofErr w:type="spellStart"/>
      <w:r w:rsidRPr="00C14F35">
        <w:rPr>
          <w:lang w:val="et-EE"/>
        </w:rPr>
        <w:t>leaflet</w:t>
      </w:r>
      <w:proofErr w:type="spellEnd"/>
      <w:r w:rsidRPr="00C14F35">
        <w:rPr>
          <w:lang w:val="et-EE"/>
        </w:rPr>
        <w:t xml:space="preserve"> </w:t>
      </w:r>
      <w:proofErr w:type="spellStart"/>
      <w:r w:rsidRPr="00C14F35">
        <w:rPr>
          <w:lang w:val="et-EE"/>
        </w:rPr>
        <w:t>should</w:t>
      </w:r>
      <w:proofErr w:type="spellEnd"/>
      <w:r w:rsidRPr="00C14F35">
        <w:rPr>
          <w:lang w:val="et-EE"/>
        </w:rPr>
        <w:t xml:space="preserve"> </w:t>
      </w:r>
      <w:proofErr w:type="spellStart"/>
      <w:r w:rsidRPr="00C14F35">
        <w:rPr>
          <w:lang w:val="et-EE"/>
        </w:rPr>
        <w:t>be</w:t>
      </w:r>
      <w:proofErr w:type="spellEnd"/>
      <w:r w:rsidRPr="00C14F35">
        <w:rPr>
          <w:lang w:val="et-EE"/>
        </w:rPr>
        <w:t xml:space="preserve"> made </w:t>
      </w:r>
      <w:proofErr w:type="spellStart"/>
      <w:r w:rsidRPr="00C14F35">
        <w:rPr>
          <w:lang w:val="et-EE"/>
        </w:rPr>
        <w:t>available</w:t>
      </w:r>
      <w:proofErr w:type="spellEnd"/>
      <w:r w:rsidRPr="00C14F35">
        <w:rPr>
          <w:lang w:val="et-EE"/>
        </w:rPr>
        <w:t xml:space="preserve"> in </w:t>
      </w:r>
      <w:proofErr w:type="spellStart"/>
      <w:r w:rsidRPr="00C14F35">
        <w:rPr>
          <w:lang w:val="et-EE"/>
        </w:rPr>
        <w:t>principle</w:t>
      </w:r>
      <w:proofErr w:type="spellEnd"/>
      <w:r w:rsidRPr="00C14F35">
        <w:rPr>
          <w:lang w:val="et-EE"/>
        </w:rPr>
        <w:t xml:space="preserve"> </w:t>
      </w:r>
      <w:proofErr w:type="spellStart"/>
      <w:r w:rsidRPr="00C14F35">
        <w:rPr>
          <w:lang w:val="et-EE"/>
        </w:rPr>
        <w:t>only</w:t>
      </w:r>
      <w:proofErr w:type="spellEnd"/>
      <w:r w:rsidRPr="00C14F35">
        <w:rPr>
          <w:lang w:val="et-EE"/>
        </w:rPr>
        <w:t xml:space="preserve"> </w:t>
      </w:r>
      <w:proofErr w:type="spellStart"/>
      <w:r w:rsidRPr="00C14F35">
        <w:rPr>
          <w:lang w:val="et-EE"/>
        </w:rPr>
        <w:t>electronically</w:t>
      </w:r>
      <w:proofErr w:type="spellEnd"/>
      <w:r w:rsidRPr="00C14F35">
        <w:rPr>
          <w:lang w:val="et-EE"/>
        </w:rPr>
        <w:t xml:space="preserve">, </w:t>
      </w:r>
      <w:proofErr w:type="spellStart"/>
      <w:r w:rsidRPr="00C14F35">
        <w:rPr>
          <w:lang w:val="et-EE"/>
        </w:rPr>
        <w:t>they</w:t>
      </w:r>
      <w:proofErr w:type="spellEnd"/>
      <w:r w:rsidRPr="00C14F35">
        <w:rPr>
          <w:lang w:val="et-EE"/>
        </w:rPr>
        <w:t xml:space="preserve"> </w:t>
      </w:r>
      <w:proofErr w:type="spellStart"/>
      <w:r w:rsidRPr="00C14F35">
        <w:rPr>
          <w:lang w:val="et-EE"/>
        </w:rPr>
        <w:t>should</w:t>
      </w:r>
      <w:proofErr w:type="spellEnd"/>
      <w:r w:rsidRPr="00C14F35">
        <w:rPr>
          <w:lang w:val="et-EE"/>
        </w:rPr>
        <w:t xml:space="preserve"> </w:t>
      </w:r>
      <w:proofErr w:type="spellStart"/>
      <w:r w:rsidRPr="00C14F35">
        <w:rPr>
          <w:lang w:val="et-EE"/>
        </w:rPr>
        <w:t>also</w:t>
      </w:r>
      <w:proofErr w:type="spellEnd"/>
      <w:r w:rsidRPr="00C14F35">
        <w:rPr>
          <w:lang w:val="et-EE"/>
        </w:rPr>
        <w:t xml:space="preserve"> </w:t>
      </w:r>
      <w:proofErr w:type="spellStart"/>
      <w:r w:rsidRPr="00C14F35">
        <w:rPr>
          <w:lang w:val="et-EE"/>
        </w:rPr>
        <w:t>ensure</w:t>
      </w:r>
      <w:proofErr w:type="spellEnd"/>
      <w:r w:rsidRPr="00C14F35">
        <w:rPr>
          <w:lang w:val="et-EE"/>
        </w:rPr>
        <w:t xml:space="preserve"> </w:t>
      </w:r>
      <w:proofErr w:type="spellStart"/>
      <w:r w:rsidRPr="00C14F35">
        <w:rPr>
          <w:lang w:val="et-EE"/>
        </w:rPr>
        <w:t>that</w:t>
      </w:r>
      <w:proofErr w:type="spellEnd"/>
      <w:r w:rsidRPr="00C14F35">
        <w:rPr>
          <w:lang w:val="et-EE"/>
        </w:rPr>
        <w:t xml:space="preserve"> a </w:t>
      </w:r>
      <w:proofErr w:type="spellStart"/>
      <w:r w:rsidRPr="00C14F35">
        <w:rPr>
          <w:lang w:val="et-EE"/>
        </w:rPr>
        <w:t>paper</w:t>
      </w:r>
      <w:proofErr w:type="spellEnd"/>
      <w:r w:rsidRPr="00C14F35">
        <w:rPr>
          <w:lang w:val="et-EE"/>
        </w:rPr>
        <w:t xml:space="preserve"> </w:t>
      </w:r>
      <w:proofErr w:type="spellStart"/>
      <w:r w:rsidRPr="00C14F35">
        <w:rPr>
          <w:lang w:val="et-EE"/>
        </w:rPr>
        <w:t>version</w:t>
      </w:r>
      <w:proofErr w:type="spellEnd"/>
      <w:r w:rsidRPr="00C14F35">
        <w:rPr>
          <w:lang w:val="et-EE"/>
        </w:rPr>
        <w:t xml:space="preserve"> of </w:t>
      </w:r>
      <w:proofErr w:type="spellStart"/>
      <w:r w:rsidRPr="00C14F35">
        <w:rPr>
          <w:lang w:val="et-EE"/>
        </w:rPr>
        <w:t>the</w:t>
      </w:r>
      <w:proofErr w:type="spellEnd"/>
      <w:r w:rsidRPr="00C14F35">
        <w:rPr>
          <w:lang w:val="et-EE"/>
        </w:rPr>
        <w:t xml:space="preserve"> </w:t>
      </w:r>
      <w:proofErr w:type="spellStart"/>
      <w:r w:rsidRPr="00C14F35">
        <w:rPr>
          <w:lang w:val="et-EE"/>
        </w:rPr>
        <w:t>package</w:t>
      </w:r>
      <w:proofErr w:type="spellEnd"/>
      <w:r w:rsidRPr="00C14F35">
        <w:rPr>
          <w:lang w:val="et-EE"/>
        </w:rPr>
        <w:t xml:space="preserve"> </w:t>
      </w:r>
      <w:proofErr w:type="spellStart"/>
      <w:r w:rsidRPr="00C14F35">
        <w:rPr>
          <w:lang w:val="et-EE"/>
        </w:rPr>
        <w:t>leaflet</w:t>
      </w:r>
      <w:proofErr w:type="spellEnd"/>
      <w:r w:rsidRPr="00C14F35">
        <w:rPr>
          <w:lang w:val="et-EE"/>
        </w:rPr>
        <w:t xml:space="preserve"> </w:t>
      </w:r>
      <w:proofErr w:type="spellStart"/>
      <w:r w:rsidRPr="00C14F35">
        <w:rPr>
          <w:lang w:val="et-EE"/>
        </w:rPr>
        <w:t>is</w:t>
      </w:r>
      <w:proofErr w:type="spellEnd"/>
      <w:r w:rsidRPr="00C14F35">
        <w:rPr>
          <w:lang w:val="et-EE"/>
        </w:rPr>
        <w:t xml:space="preserve"> </w:t>
      </w:r>
      <w:proofErr w:type="spellStart"/>
      <w:r w:rsidRPr="00C14F35">
        <w:rPr>
          <w:lang w:val="et-EE"/>
        </w:rPr>
        <w:t>to</w:t>
      </w:r>
      <w:proofErr w:type="spellEnd"/>
      <w:r w:rsidRPr="00C14F35">
        <w:rPr>
          <w:lang w:val="et-EE"/>
        </w:rPr>
        <w:t xml:space="preserve"> </w:t>
      </w:r>
      <w:proofErr w:type="spellStart"/>
      <w:r w:rsidRPr="00C14F35">
        <w:rPr>
          <w:lang w:val="et-EE"/>
        </w:rPr>
        <w:t>be</w:t>
      </w:r>
      <w:proofErr w:type="spellEnd"/>
      <w:r w:rsidRPr="00C14F35">
        <w:rPr>
          <w:lang w:val="et-EE"/>
        </w:rPr>
        <w:t xml:space="preserve"> made </w:t>
      </w:r>
      <w:proofErr w:type="spellStart"/>
      <w:r w:rsidRPr="00C14F35">
        <w:rPr>
          <w:lang w:val="et-EE"/>
        </w:rPr>
        <w:t>available</w:t>
      </w:r>
      <w:proofErr w:type="spellEnd"/>
      <w:r w:rsidRPr="00C14F35">
        <w:rPr>
          <w:lang w:val="et-EE"/>
        </w:rPr>
        <w:t xml:space="preserve"> on </w:t>
      </w:r>
      <w:proofErr w:type="spellStart"/>
      <w:r w:rsidRPr="00C14F35">
        <w:rPr>
          <w:lang w:val="et-EE"/>
        </w:rPr>
        <w:t>demand</w:t>
      </w:r>
      <w:proofErr w:type="spellEnd"/>
      <w:r w:rsidRPr="00C14F35">
        <w:rPr>
          <w:lang w:val="et-EE"/>
        </w:rPr>
        <w:t xml:space="preserve"> and </w:t>
      </w:r>
      <w:proofErr w:type="spellStart"/>
      <w:r w:rsidRPr="00C14F35">
        <w:rPr>
          <w:lang w:val="et-EE"/>
        </w:rPr>
        <w:t>without</w:t>
      </w:r>
      <w:proofErr w:type="spellEnd"/>
      <w:r w:rsidRPr="00C14F35">
        <w:rPr>
          <w:lang w:val="et-EE"/>
        </w:rPr>
        <w:t xml:space="preserve"> </w:t>
      </w:r>
      <w:proofErr w:type="spellStart"/>
      <w:r w:rsidRPr="00C14F35">
        <w:rPr>
          <w:lang w:val="et-EE"/>
        </w:rPr>
        <w:t>additonal</w:t>
      </w:r>
      <w:proofErr w:type="spellEnd"/>
      <w:r w:rsidRPr="00C14F35">
        <w:rPr>
          <w:lang w:val="et-EE"/>
        </w:rPr>
        <w:t xml:space="preserve"> </w:t>
      </w:r>
      <w:proofErr w:type="spellStart"/>
      <w:r w:rsidRPr="00C14F35">
        <w:rPr>
          <w:lang w:val="et-EE"/>
        </w:rPr>
        <w:t>cost</w:t>
      </w:r>
      <w:proofErr w:type="spellEnd"/>
      <w:r w:rsidRPr="00C14F35">
        <w:rPr>
          <w:lang w:val="et-EE"/>
        </w:rPr>
        <w:t xml:space="preserve"> </w:t>
      </w:r>
      <w:proofErr w:type="spellStart"/>
      <w:r w:rsidRPr="00C14F35">
        <w:rPr>
          <w:lang w:val="et-EE"/>
        </w:rPr>
        <w:t>to</w:t>
      </w:r>
      <w:proofErr w:type="spellEnd"/>
      <w:r w:rsidRPr="00C14F35">
        <w:rPr>
          <w:lang w:val="et-EE"/>
        </w:rPr>
        <w:t xml:space="preserve"> </w:t>
      </w:r>
      <w:proofErr w:type="spellStart"/>
      <w:r w:rsidRPr="00C14F35">
        <w:rPr>
          <w:lang w:val="et-EE"/>
        </w:rPr>
        <w:t>patients</w:t>
      </w:r>
      <w:proofErr w:type="spellEnd"/>
      <w:r w:rsidRPr="00C14F35">
        <w:rPr>
          <w:lang w:val="et-EE"/>
        </w:rPr>
        <w:t xml:space="preserve"> /…/.</w:t>
      </w:r>
    </w:p>
    <w:p w14:paraId="7D372704" w14:textId="1FA8D492" w:rsidR="00831C2B" w:rsidRPr="00C14F35" w:rsidRDefault="00FC6CCC" w:rsidP="00A84576">
      <w:pPr>
        <w:contextualSpacing/>
        <w:jc w:val="both"/>
        <w:rPr>
          <w:color w:val="auto"/>
        </w:rPr>
      </w:pPr>
      <w:r w:rsidRPr="00C14F35">
        <w:rPr>
          <w:b/>
          <w:bCs/>
          <w:color w:val="C00000"/>
        </w:rPr>
        <w:t>Küsimus:</w:t>
      </w:r>
      <w:r w:rsidRPr="00C14F35">
        <w:rPr>
          <w:color w:val="C00000"/>
        </w:rPr>
        <w:t xml:space="preserve"> </w:t>
      </w:r>
      <w:r w:rsidRPr="00C14F35">
        <w:rPr>
          <w:color w:val="auto"/>
        </w:rPr>
        <w:t>Kes konkreetselt tagab paberkandjal infolehe kättesaadavuse kui patsient seda vajab? Kas apteek vastutab õige versiooni printimise eest?</w:t>
      </w:r>
    </w:p>
    <w:p w14:paraId="09C02250" w14:textId="77777777" w:rsidR="0035283B" w:rsidRPr="00C14F35" w:rsidRDefault="0035283B" w:rsidP="00A84576">
      <w:pPr>
        <w:contextualSpacing/>
        <w:jc w:val="both"/>
        <w:rPr>
          <w:color w:val="auto"/>
        </w:rPr>
      </w:pPr>
    </w:p>
    <w:p w14:paraId="7EB4E4B4" w14:textId="13434502" w:rsidR="0035283B" w:rsidRPr="00C14F35" w:rsidRDefault="00044478" w:rsidP="00A84576">
      <w:pPr>
        <w:contextualSpacing/>
        <w:jc w:val="both"/>
        <w:rPr>
          <w:color w:val="auto"/>
        </w:rPr>
      </w:pPr>
      <w:r w:rsidRPr="00C14F35">
        <w:rPr>
          <w:color w:val="auto"/>
        </w:rPr>
        <w:t>Kokk</w:t>
      </w:r>
      <w:r w:rsidR="009F2E1A" w:rsidRPr="00C14F35">
        <w:rPr>
          <w:color w:val="auto"/>
        </w:rPr>
        <w:t>uvõttes palub RTL</w:t>
      </w:r>
      <w:r w:rsidR="0035283B" w:rsidRPr="00C14F35">
        <w:rPr>
          <w:color w:val="auto"/>
        </w:rPr>
        <w:t xml:space="preserve"> enne lõplike seisukohtade ja tagasiside kujundamist arutelu, et selgitada täiendavalt oluliste muudatuste mõju, seda just ravimitootjate vaatest. Meie jaoks on oluline, et Eestis paraneks ravimite kättesaadavus ning selle saavutamiseks võib meil kohapeal olla</w:t>
      </w:r>
      <w:r w:rsidRPr="00C14F35">
        <w:rPr>
          <w:color w:val="auto"/>
        </w:rPr>
        <w:t xml:space="preserve"> lisaks Euroopa Komisjoni ravimireformi kavale </w:t>
      </w:r>
      <w:r w:rsidR="0035283B" w:rsidRPr="00C14F35">
        <w:rPr>
          <w:color w:val="auto"/>
        </w:rPr>
        <w:t>võimalusi</w:t>
      </w:r>
      <w:r w:rsidR="009F2E1A" w:rsidRPr="00C14F35">
        <w:rPr>
          <w:color w:val="auto"/>
        </w:rPr>
        <w:t xml:space="preserve"> ja</w:t>
      </w:r>
      <w:r w:rsidR="0035283B" w:rsidRPr="00C14F35">
        <w:rPr>
          <w:color w:val="auto"/>
        </w:rPr>
        <w:t xml:space="preserve"> instrumente</w:t>
      </w:r>
      <w:r w:rsidRPr="00C14F35">
        <w:rPr>
          <w:color w:val="auto"/>
        </w:rPr>
        <w:t xml:space="preserve"> mida kohe rakendada</w:t>
      </w:r>
      <w:r w:rsidR="0035283B" w:rsidRPr="00C14F35">
        <w:rPr>
          <w:color w:val="auto"/>
        </w:rPr>
        <w:t>.</w:t>
      </w:r>
    </w:p>
    <w:sectPr w:rsidR="0035283B" w:rsidRPr="00C14F35" w:rsidSect="009F2E1A">
      <w:headerReference w:type="default" r:id="rId8"/>
      <w:footerReference w:type="default" r:id="rId9"/>
      <w:headerReference w:type="first" r:id="rId10"/>
      <w:footerReference w:type="first" r:id="rId11"/>
      <w:pgSz w:w="12240" w:h="15840"/>
      <w:pgMar w:top="1440" w:right="1041" w:bottom="1440" w:left="144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5F04B" w14:textId="77777777" w:rsidR="003D1FCE" w:rsidRDefault="003D1FCE">
      <w:pPr>
        <w:spacing w:after="0" w:line="240" w:lineRule="auto"/>
      </w:pPr>
      <w:r>
        <w:separator/>
      </w:r>
    </w:p>
  </w:endnote>
  <w:endnote w:type="continuationSeparator" w:id="0">
    <w:p w14:paraId="7A90DD48" w14:textId="77777777" w:rsidR="003D1FCE" w:rsidRDefault="003D1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1853415"/>
      <w:docPartObj>
        <w:docPartGallery w:val="Page Numbers (Bottom of Page)"/>
        <w:docPartUnique/>
      </w:docPartObj>
    </w:sdtPr>
    <w:sdtContent>
      <w:p w14:paraId="25FBC1EE" w14:textId="0E2135B3" w:rsidR="00DD0F9F" w:rsidRDefault="00DD0F9F">
        <w:pPr>
          <w:pStyle w:val="Jalus"/>
          <w:jc w:val="right"/>
        </w:pPr>
        <w:r>
          <w:fldChar w:fldCharType="begin"/>
        </w:r>
        <w:r>
          <w:instrText>PAGE   \* MERGEFORMAT</w:instrText>
        </w:r>
        <w:r>
          <w:fldChar w:fldCharType="separate"/>
        </w:r>
        <w:r>
          <w:t>2</w:t>
        </w:r>
        <w:r>
          <w:fldChar w:fldCharType="end"/>
        </w:r>
      </w:p>
    </w:sdtContent>
  </w:sdt>
  <w:p w14:paraId="73F0A12A" w14:textId="0B528A1F" w:rsidR="00423E2B" w:rsidRPr="00B40CFD" w:rsidRDefault="00423E2B">
    <w:pPr>
      <w:spacing w:after="0" w:line="240" w:lineRule="auto"/>
      <w:rPr>
        <w:color w:val="215868" w:themeColor="accent5"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CAC7F" w14:textId="30C29A95" w:rsidR="00423E2B" w:rsidRDefault="00423E2B">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24791" w14:textId="77777777" w:rsidR="003D1FCE" w:rsidRDefault="003D1FCE">
      <w:pPr>
        <w:spacing w:after="0" w:line="240" w:lineRule="auto"/>
      </w:pPr>
      <w:r>
        <w:separator/>
      </w:r>
    </w:p>
  </w:footnote>
  <w:footnote w:type="continuationSeparator" w:id="0">
    <w:p w14:paraId="0914CDE3" w14:textId="77777777" w:rsidR="003D1FCE" w:rsidRDefault="003D1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D9894" w14:textId="77777777" w:rsidR="00423E2B" w:rsidRDefault="00423E2B" w:rsidP="00095EC9">
    <w:pPr>
      <w:pStyle w:val="Pi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94BD7" w14:textId="77777777" w:rsidR="00423E2B" w:rsidRDefault="00423E2B" w:rsidP="00DD0F9F">
    <w:pPr>
      <w:pStyle w:val="Pis"/>
      <w:tabs>
        <w:tab w:val="clear" w:pos="9406"/>
        <w:tab w:val="right" w:pos="8627"/>
      </w:tabs>
      <w:jc w:val="right"/>
    </w:pPr>
    <w:r>
      <w:rPr>
        <w:noProof/>
        <w:lang w:eastAsia="en-US"/>
      </w:rPr>
      <w:drawing>
        <wp:anchor distT="0" distB="0" distL="114300" distR="114300" simplePos="0" relativeHeight="251658240" behindDoc="1" locked="0" layoutInCell="1" allowOverlap="1" wp14:anchorId="447C2AA7" wp14:editId="1353E188">
          <wp:simplePos x="0" y="0"/>
          <wp:positionH relativeFrom="column">
            <wp:posOffset>3505200</wp:posOffset>
          </wp:positionH>
          <wp:positionV relativeFrom="paragraph">
            <wp:posOffset>-251460</wp:posOffset>
          </wp:positionV>
          <wp:extent cx="2434590" cy="405765"/>
          <wp:effectExtent l="0" t="0" r="3810" b="0"/>
          <wp:wrapTight wrapText="bothSides">
            <wp:wrapPolygon edited="0">
              <wp:start x="507" y="0"/>
              <wp:lineTo x="0" y="3042"/>
              <wp:lineTo x="0" y="16225"/>
              <wp:lineTo x="507" y="20282"/>
              <wp:lineTo x="15042" y="20282"/>
              <wp:lineTo x="21465" y="19268"/>
              <wp:lineTo x="21465" y="2028"/>
              <wp:lineTo x="2535" y="0"/>
              <wp:lineTo x="507" y="0"/>
            </wp:wrapPolygon>
          </wp:wrapTight>
          <wp:docPr id="2131380038" name="Pilt 2131380038"/>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34590" cy="40576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D4B34"/>
    <w:multiLevelType w:val="hybridMultilevel"/>
    <w:tmpl w:val="81180F56"/>
    <w:lvl w:ilvl="0" w:tplc="CA7E00DC">
      <w:numFmt w:val="bullet"/>
      <w:lvlText w:val="-"/>
      <w:lvlJc w:val="left"/>
      <w:pPr>
        <w:ind w:left="360" w:hanging="360"/>
      </w:pPr>
      <w:rPr>
        <w:rFonts w:ascii="Calibri" w:eastAsia="Calibri" w:hAnsi="Calibri" w:cs="Calibri" w:hint="default"/>
      </w:rPr>
    </w:lvl>
    <w:lvl w:ilvl="1" w:tplc="C67065D0">
      <w:numFmt w:val="bullet"/>
      <w:lvlText w:val="•"/>
      <w:lvlJc w:val="left"/>
      <w:pPr>
        <w:ind w:left="1080" w:hanging="360"/>
      </w:pPr>
      <w:rPr>
        <w:rFonts w:ascii="Calibri" w:eastAsia="Calibri" w:hAnsi="Calibri" w:cs="Calibri"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110A71E9"/>
    <w:multiLevelType w:val="hybridMultilevel"/>
    <w:tmpl w:val="854C201A"/>
    <w:styleLink w:val="ImportedStyle3"/>
    <w:lvl w:ilvl="0" w:tplc="05D4F1B0">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044EAC">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ECAB5E">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02CBA2">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E89F4E">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40030E">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6CF27A">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F626C4">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16B69E">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4BA5C6D"/>
    <w:multiLevelType w:val="hybridMultilevel"/>
    <w:tmpl w:val="419C847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4F95950"/>
    <w:multiLevelType w:val="hybridMultilevel"/>
    <w:tmpl w:val="1FBE27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53D7726"/>
    <w:multiLevelType w:val="hybridMultilevel"/>
    <w:tmpl w:val="9FC24F0E"/>
    <w:numStyleLink w:val="ImportedStyle2"/>
  </w:abstractNum>
  <w:abstractNum w:abstractNumId="5" w15:restartNumberingAfterBreak="0">
    <w:nsid w:val="166608C6"/>
    <w:multiLevelType w:val="multilevel"/>
    <w:tmpl w:val="9B802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74E68"/>
    <w:multiLevelType w:val="hybridMultilevel"/>
    <w:tmpl w:val="FEE6464A"/>
    <w:numStyleLink w:val="ImportedStyle1"/>
  </w:abstractNum>
  <w:abstractNum w:abstractNumId="7" w15:restartNumberingAfterBreak="0">
    <w:nsid w:val="202314F6"/>
    <w:multiLevelType w:val="hybridMultilevel"/>
    <w:tmpl w:val="99AE50F8"/>
    <w:lvl w:ilvl="0" w:tplc="CA7E00DC">
      <w:numFmt w:val="bullet"/>
      <w:lvlText w:val="-"/>
      <w:lvlJc w:val="left"/>
      <w:pPr>
        <w:ind w:left="36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2E853F1"/>
    <w:multiLevelType w:val="hybridMultilevel"/>
    <w:tmpl w:val="87309FBC"/>
    <w:numStyleLink w:val="ImportedStyle4"/>
  </w:abstractNum>
  <w:abstractNum w:abstractNumId="9" w15:restartNumberingAfterBreak="0">
    <w:nsid w:val="327E4F86"/>
    <w:multiLevelType w:val="hybridMultilevel"/>
    <w:tmpl w:val="0B9A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F53D0"/>
    <w:multiLevelType w:val="multilevel"/>
    <w:tmpl w:val="BE960F68"/>
    <w:lvl w:ilvl="0">
      <w:start w:val="1"/>
      <w:numFmt w:val="decimal"/>
      <w:lvlText w:val="%1."/>
      <w:lvlJc w:val="left"/>
      <w:pPr>
        <w:ind w:left="360" w:hanging="360"/>
      </w:pPr>
    </w:lvl>
    <w:lvl w:ilvl="1">
      <w:start w:val="1"/>
      <w:numFmt w:val="decimal"/>
      <w:pStyle w:val="Pealkiri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400089"/>
    <w:multiLevelType w:val="hybridMultilevel"/>
    <w:tmpl w:val="854C201A"/>
    <w:numStyleLink w:val="ImportedStyle3"/>
  </w:abstractNum>
  <w:abstractNum w:abstractNumId="12" w15:restartNumberingAfterBreak="0">
    <w:nsid w:val="39E82FE0"/>
    <w:multiLevelType w:val="hybridMultilevel"/>
    <w:tmpl w:val="9FC24F0E"/>
    <w:styleLink w:val="ImportedStyle2"/>
    <w:lvl w:ilvl="0" w:tplc="41AE0DAA">
      <w:start w:val="1"/>
      <w:numFmt w:val="decimal"/>
      <w:lvlText w:val="%1."/>
      <w:lvlJc w:val="left"/>
      <w:pPr>
        <w:ind w:left="709"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DC9CF6">
      <w:start w:val="1"/>
      <w:numFmt w:val="lowerLetter"/>
      <w:lvlText w:val="%2."/>
      <w:lvlJc w:val="left"/>
      <w:pPr>
        <w:ind w:left="10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94F2C2">
      <w:start w:val="1"/>
      <w:numFmt w:val="lowerRoman"/>
      <w:lvlText w:val="%3."/>
      <w:lvlJc w:val="left"/>
      <w:pPr>
        <w:ind w:left="1789" w:hanging="35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70FC04">
      <w:start w:val="1"/>
      <w:numFmt w:val="decimal"/>
      <w:lvlText w:val="%4."/>
      <w:lvlJc w:val="left"/>
      <w:pPr>
        <w:ind w:left="250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CE2970">
      <w:start w:val="1"/>
      <w:numFmt w:val="lowerLetter"/>
      <w:lvlText w:val="%5."/>
      <w:lvlJc w:val="left"/>
      <w:pPr>
        <w:ind w:left="322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682950">
      <w:start w:val="1"/>
      <w:numFmt w:val="lowerRoman"/>
      <w:lvlText w:val="%6."/>
      <w:lvlJc w:val="left"/>
      <w:pPr>
        <w:ind w:left="3949" w:hanging="35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64F65E">
      <w:start w:val="1"/>
      <w:numFmt w:val="decimal"/>
      <w:lvlText w:val="%7."/>
      <w:lvlJc w:val="left"/>
      <w:pPr>
        <w:ind w:left="46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6ED288">
      <w:start w:val="1"/>
      <w:numFmt w:val="lowerLetter"/>
      <w:lvlText w:val="%8."/>
      <w:lvlJc w:val="left"/>
      <w:pPr>
        <w:ind w:left="538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202A1A">
      <w:start w:val="1"/>
      <w:numFmt w:val="lowerRoman"/>
      <w:lvlText w:val="%9."/>
      <w:lvlJc w:val="left"/>
      <w:pPr>
        <w:ind w:left="6109" w:hanging="35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BD87EA0"/>
    <w:multiLevelType w:val="hybridMultilevel"/>
    <w:tmpl w:val="7A4AD77A"/>
    <w:lvl w:ilvl="0" w:tplc="B6382936">
      <w:start w:val="5"/>
      <w:numFmt w:val="bullet"/>
      <w:lvlText w:val="-"/>
      <w:lvlJc w:val="left"/>
      <w:pPr>
        <w:ind w:left="720" w:hanging="360"/>
      </w:pPr>
      <w:rPr>
        <w:rFonts w:ascii="Calibri" w:eastAsia="Times New Roman" w:hAnsi="Calibri" w:cs="Calibri"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C41AF9"/>
    <w:multiLevelType w:val="hybridMultilevel"/>
    <w:tmpl w:val="CEF2A974"/>
    <w:lvl w:ilvl="0" w:tplc="31A637B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4A8D56EE"/>
    <w:multiLevelType w:val="multilevel"/>
    <w:tmpl w:val="7A1024FC"/>
    <w:lvl w:ilvl="0">
      <w:start w:val="1"/>
      <w:numFmt w:val="decimal"/>
      <w:pStyle w:val="Pealkiri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6D1917"/>
    <w:multiLevelType w:val="hybridMultilevel"/>
    <w:tmpl w:val="574A226E"/>
    <w:lvl w:ilvl="0" w:tplc="EC8AF81A">
      <w:start w:val="1"/>
      <w:numFmt w:val="bullet"/>
      <w:lvlText w:val=""/>
      <w:lvlJc w:val="left"/>
      <w:pPr>
        <w:ind w:left="785"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AAD65C">
      <w:start w:val="1"/>
      <w:numFmt w:val="bullet"/>
      <w:lvlText w:val="o"/>
      <w:lvlJc w:val="left"/>
      <w:pPr>
        <w:ind w:left="150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4EFD54">
      <w:start w:val="1"/>
      <w:numFmt w:val="bullet"/>
      <w:lvlText w:val="▪"/>
      <w:lvlJc w:val="left"/>
      <w:pPr>
        <w:ind w:left="22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DEE30C">
      <w:start w:val="1"/>
      <w:numFmt w:val="bullet"/>
      <w:lvlText w:val="•"/>
      <w:lvlJc w:val="left"/>
      <w:pPr>
        <w:ind w:left="294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08D276">
      <w:start w:val="1"/>
      <w:numFmt w:val="bullet"/>
      <w:lvlText w:val="o"/>
      <w:lvlJc w:val="left"/>
      <w:pPr>
        <w:ind w:left="366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763B0C">
      <w:start w:val="1"/>
      <w:numFmt w:val="bullet"/>
      <w:lvlText w:val="▪"/>
      <w:lvlJc w:val="left"/>
      <w:pPr>
        <w:ind w:left="438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B642A8">
      <w:start w:val="1"/>
      <w:numFmt w:val="bullet"/>
      <w:lvlText w:val="•"/>
      <w:lvlJc w:val="left"/>
      <w:pPr>
        <w:ind w:left="510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1ABB6C">
      <w:start w:val="1"/>
      <w:numFmt w:val="bullet"/>
      <w:lvlText w:val="o"/>
      <w:lvlJc w:val="left"/>
      <w:pPr>
        <w:ind w:left="582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12F5F6">
      <w:start w:val="1"/>
      <w:numFmt w:val="bullet"/>
      <w:lvlText w:val="▪"/>
      <w:lvlJc w:val="left"/>
      <w:pPr>
        <w:ind w:left="654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604229E"/>
    <w:multiLevelType w:val="hybridMultilevel"/>
    <w:tmpl w:val="950C518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5C306FB7"/>
    <w:multiLevelType w:val="hybridMultilevel"/>
    <w:tmpl w:val="2762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E26167"/>
    <w:multiLevelType w:val="hybridMultilevel"/>
    <w:tmpl w:val="E9D2A7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6BB6BF9"/>
    <w:multiLevelType w:val="hybridMultilevel"/>
    <w:tmpl w:val="EE5A768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1" w15:restartNumberingAfterBreak="0">
    <w:nsid w:val="6AF334DD"/>
    <w:multiLevelType w:val="hybridMultilevel"/>
    <w:tmpl w:val="87309FBC"/>
    <w:styleLink w:val="ImportedStyle4"/>
    <w:lvl w:ilvl="0" w:tplc="6E201BB2">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7E2E7A">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1E2666">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56C512">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ECC148">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1EC608">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9623D4">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72F1DA">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6FCA6">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1B157E7"/>
    <w:multiLevelType w:val="hybridMultilevel"/>
    <w:tmpl w:val="06D4714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3" w15:restartNumberingAfterBreak="0">
    <w:nsid w:val="732A59DA"/>
    <w:multiLevelType w:val="hybridMultilevel"/>
    <w:tmpl w:val="AD80B3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73C650FB"/>
    <w:multiLevelType w:val="multilevel"/>
    <w:tmpl w:val="F536B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1527B8"/>
    <w:multiLevelType w:val="hybridMultilevel"/>
    <w:tmpl w:val="E68E6F36"/>
    <w:lvl w:ilvl="0" w:tplc="F74E2396">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6" w15:restartNumberingAfterBreak="0">
    <w:nsid w:val="7CA87A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CF4E8B"/>
    <w:multiLevelType w:val="hybridMultilevel"/>
    <w:tmpl w:val="FEE6464A"/>
    <w:styleLink w:val="ImportedStyle1"/>
    <w:lvl w:ilvl="0" w:tplc="D3F06038">
      <w:start w:val="1"/>
      <w:numFmt w:val="upperRoman"/>
      <w:lvlText w:val="%1."/>
      <w:lvlJc w:val="left"/>
      <w:pPr>
        <w:ind w:left="851" w:hanging="85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0ED566">
      <w:start w:val="1"/>
      <w:numFmt w:val="lowerLetter"/>
      <w:lvlText w:val="%2."/>
      <w:lvlJc w:val="left"/>
      <w:pPr>
        <w:ind w:left="1211" w:hanging="4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A2E9F0">
      <w:start w:val="1"/>
      <w:numFmt w:val="lowerRoman"/>
      <w:lvlText w:val="%3."/>
      <w:lvlJc w:val="left"/>
      <w:pPr>
        <w:ind w:left="1931" w:hanging="4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08AC4A">
      <w:start w:val="1"/>
      <w:numFmt w:val="decimal"/>
      <w:lvlText w:val="%4."/>
      <w:lvlJc w:val="left"/>
      <w:pPr>
        <w:ind w:left="2651" w:hanging="4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08511E">
      <w:start w:val="1"/>
      <w:numFmt w:val="lowerLetter"/>
      <w:lvlText w:val="%5."/>
      <w:lvlJc w:val="left"/>
      <w:pPr>
        <w:ind w:left="3371" w:hanging="4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024210">
      <w:start w:val="1"/>
      <w:numFmt w:val="lowerRoman"/>
      <w:lvlText w:val="%6."/>
      <w:lvlJc w:val="left"/>
      <w:pPr>
        <w:ind w:left="4091" w:hanging="4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36A784">
      <w:start w:val="1"/>
      <w:numFmt w:val="decimal"/>
      <w:lvlText w:val="%7."/>
      <w:lvlJc w:val="left"/>
      <w:pPr>
        <w:ind w:left="4811" w:hanging="4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EAD8DA">
      <w:start w:val="1"/>
      <w:numFmt w:val="lowerLetter"/>
      <w:lvlText w:val="%8."/>
      <w:lvlJc w:val="left"/>
      <w:pPr>
        <w:ind w:left="5531" w:hanging="4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48C9E0">
      <w:start w:val="1"/>
      <w:numFmt w:val="lowerRoman"/>
      <w:lvlText w:val="%9."/>
      <w:lvlJc w:val="left"/>
      <w:pPr>
        <w:ind w:left="6251" w:hanging="4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E21140B"/>
    <w:multiLevelType w:val="hybridMultilevel"/>
    <w:tmpl w:val="232E0290"/>
    <w:lvl w:ilvl="0" w:tplc="EC8AF81A">
      <w:start w:val="1"/>
      <w:numFmt w:val="bullet"/>
      <w:lvlText w:val=""/>
      <w:lvlJc w:val="left"/>
      <w:pPr>
        <w:ind w:left="36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6C416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FEBAC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28C7D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6AA8F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188FE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306CF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7407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B4694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875340254">
    <w:abstractNumId w:val="27"/>
  </w:num>
  <w:num w:numId="2" w16cid:durableId="943079888">
    <w:abstractNumId w:val="6"/>
  </w:num>
  <w:num w:numId="3" w16cid:durableId="1748190628">
    <w:abstractNumId w:val="12"/>
  </w:num>
  <w:num w:numId="4" w16cid:durableId="1225094709">
    <w:abstractNumId w:val="4"/>
  </w:num>
  <w:num w:numId="5" w16cid:durableId="336662591">
    <w:abstractNumId w:val="1"/>
  </w:num>
  <w:num w:numId="6" w16cid:durableId="1280987564">
    <w:abstractNumId w:val="11"/>
  </w:num>
  <w:num w:numId="7" w16cid:durableId="1126504976">
    <w:abstractNumId w:val="4"/>
    <w:lvlOverride w:ilvl="0">
      <w:startOverride w:val="2"/>
    </w:lvlOverride>
  </w:num>
  <w:num w:numId="8" w16cid:durableId="1991328725">
    <w:abstractNumId w:val="21"/>
  </w:num>
  <w:num w:numId="9" w16cid:durableId="247538977">
    <w:abstractNumId w:val="8"/>
  </w:num>
  <w:num w:numId="10" w16cid:durableId="1436095343">
    <w:abstractNumId w:val="4"/>
    <w:lvlOverride w:ilvl="0">
      <w:startOverride w:val="3"/>
    </w:lvlOverride>
  </w:num>
  <w:num w:numId="11" w16cid:durableId="1318655368">
    <w:abstractNumId w:val="6"/>
    <w:lvlOverride w:ilvl="0">
      <w:startOverride w:val="2"/>
    </w:lvlOverride>
  </w:num>
  <w:num w:numId="12" w16cid:durableId="124395877">
    <w:abstractNumId w:val="16"/>
  </w:num>
  <w:num w:numId="13" w16cid:durableId="210771902">
    <w:abstractNumId w:val="28"/>
  </w:num>
  <w:num w:numId="14" w16cid:durableId="1932348408">
    <w:abstractNumId w:val="13"/>
  </w:num>
  <w:num w:numId="15" w16cid:durableId="735477062">
    <w:abstractNumId w:val="9"/>
  </w:num>
  <w:num w:numId="16" w16cid:durableId="742025686">
    <w:abstractNumId w:val="23"/>
  </w:num>
  <w:num w:numId="17" w16cid:durableId="988947982">
    <w:abstractNumId w:val="0"/>
  </w:num>
  <w:num w:numId="18" w16cid:durableId="436215467">
    <w:abstractNumId w:val="7"/>
  </w:num>
  <w:num w:numId="19" w16cid:durableId="1484277669">
    <w:abstractNumId w:val="24"/>
  </w:num>
  <w:num w:numId="20" w16cid:durableId="891503886">
    <w:abstractNumId w:val="5"/>
  </w:num>
  <w:num w:numId="21" w16cid:durableId="274755286">
    <w:abstractNumId w:val="20"/>
  </w:num>
  <w:num w:numId="22" w16cid:durableId="1104576148">
    <w:abstractNumId w:val="2"/>
  </w:num>
  <w:num w:numId="23" w16cid:durableId="751390537">
    <w:abstractNumId w:val="14"/>
  </w:num>
  <w:num w:numId="24" w16cid:durableId="1777627520">
    <w:abstractNumId w:val="18"/>
  </w:num>
  <w:num w:numId="25" w16cid:durableId="1529759955">
    <w:abstractNumId w:val="25"/>
  </w:num>
  <w:num w:numId="26" w16cid:durableId="18817612">
    <w:abstractNumId w:val="17"/>
  </w:num>
  <w:num w:numId="27" w16cid:durableId="1255357956">
    <w:abstractNumId w:val="22"/>
  </w:num>
  <w:num w:numId="28" w16cid:durableId="1751073364">
    <w:abstractNumId w:val="19"/>
  </w:num>
  <w:num w:numId="29" w16cid:durableId="1076316518">
    <w:abstractNumId w:val="3"/>
  </w:num>
  <w:num w:numId="30" w16cid:durableId="577713995">
    <w:abstractNumId w:val="15"/>
  </w:num>
  <w:num w:numId="31" w16cid:durableId="2101828672">
    <w:abstractNumId w:val="10"/>
  </w:num>
  <w:num w:numId="32" w16cid:durableId="189300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51746117">
    <w:abstractNumId w:val="26"/>
  </w:num>
  <w:num w:numId="34" w16cid:durableId="108356982">
    <w:abstractNumId w:val="15"/>
  </w:num>
  <w:num w:numId="35" w16cid:durableId="1212495492">
    <w:abstractNumId w:val="15"/>
  </w:num>
  <w:num w:numId="36" w16cid:durableId="3520715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72018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E7"/>
    <w:rsid w:val="00010880"/>
    <w:rsid w:val="000109E1"/>
    <w:rsid w:val="00016438"/>
    <w:rsid w:val="000308A2"/>
    <w:rsid w:val="00030A48"/>
    <w:rsid w:val="00041E74"/>
    <w:rsid w:val="00044478"/>
    <w:rsid w:val="00046FB1"/>
    <w:rsid w:val="000549B5"/>
    <w:rsid w:val="000949F4"/>
    <w:rsid w:val="00095EC9"/>
    <w:rsid w:val="000B48E4"/>
    <w:rsid w:val="000B719F"/>
    <w:rsid w:val="000C112D"/>
    <w:rsid w:val="000C18C2"/>
    <w:rsid w:val="000C1BD8"/>
    <w:rsid w:val="000C1CB1"/>
    <w:rsid w:val="000C3A2E"/>
    <w:rsid w:val="000D0817"/>
    <w:rsid w:val="000D1358"/>
    <w:rsid w:val="000D7DAF"/>
    <w:rsid w:val="000E13A5"/>
    <w:rsid w:val="000E4B92"/>
    <w:rsid w:val="000E774C"/>
    <w:rsid w:val="000F3241"/>
    <w:rsid w:val="000F6D88"/>
    <w:rsid w:val="00104DA7"/>
    <w:rsid w:val="00113242"/>
    <w:rsid w:val="00123C79"/>
    <w:rsid w:val="00131230"/>
    <w:rsid w:val="001341FE"/>
    <w:rsid w:val="00137E06"/>
    <w:rsid w:val="00141C22"/>
    <w:rsid w:val="001544F5"/>
    <w:rsid w:val="00157B3A"/>
    <w:rsid w:val="0016185D"/>
    <w:rsid w:val="00167776"/>
    <w:rsid w:val="001705E7"/>
    <w:rsid w:val="001776DA"/>
    <w:rsid w:val="00184A20"/>
    <w:rsid w:val="001A6FBA"/>
    <w:rsid w:val="001B0FB4"/>
    <w:rsid w:val="001D3F01"/>
    <w:rsid w:val="001F3BD0"/>
    <w:rsid w:val="00200025"/>
    <w:rsid w:val="00202F7C"/>
    <w:rsid w:val="00210D1B"/>
    <w:rsid w:val="002128CF"/>
    <w:rsid w:val="00214760"/>
    <w:rsid w:val="0024681A"/>
    <w:rsid w:val="002550E6"/>
    <w:rsid w:val="00257524"/>
    <w:rsid w:val="00265FCD"/>
    <w:rsid w:val="00276A30"/>
    <w:rsid w:val="00277032"/>
    <w:rsid w:val="00284310"/>
    <w:rsid w:val="00287FA0"/>
    <w:rsid w:val="00293387"/>
    <w:rsid w:val="00297497"/>
    <w:rsid w:val="002B0518"/>
    <w:rsid w:val="002B4114"/>
    <w:rsid w:val="002C3FE2"/>
    <w:rsid w:val="002C583B"/>
    <w:rsid w:val="002D7893"/>
    <w:rsid w:val="002D7DEE"/>
    <w:rsid w:val="00300EFC"/>
    <w:rsid w:val="00326D8D"/>
    <w:rsid w:val="003332E7"/>
    <w:rsid w:val="00335A32"/>
    <w:rsid w:val="00336B1B"/>
    <w:rsid w:val="003378C4"/>
    <w:rsid w:val="00337B01"/>
    <w:rsid w:val="0034052C"/>
    <w:rsid w:val="00342A0A"/>
    <w:rsid w:val="0035283B"/>
    <w:rsid w:val="00364060"/>
    <w:rsid w:val="003676B7"/>
    <w:rsid w:val="00370CDD"/>
    <w:rsid w:val="00372521"/>
    <w:rsid w:val="00373669"/>
    <w:rsid w:val="00381E90"/>
    <w:rsid w:val="0038719D"/>
    <w:rsid w:val="003A2A37"/>
    <w:rsid w:val="003A5748"/>
    <w:rsid w:val="003A7464"/>
    <w:rsid w:val="003B4261"/>
    <w:rsid w:val="003B5F27"/>
    <w:rsid w:val="003D1FCE"/>
    <w:rsid w:val="003D48FD"/>
    <w:rsid w:val="003E2D8B"/>
    <w:rsid w:val="003E5AD5"/>
    <w:rsid w:val="003E697D"/>
    <w:rsid w:val="003F6344"/>
    <w:rsid w:val="00411E0A"/>
    <w:rsid w:val="0041214F"/>
    <w:rsid w:val="00420B72"/>
    <w:rsid w:val="00422848"/>
    <w:rsid w:val="00423E2B"/>
    <w:rsid w:val="004430CC"/>
    <w:rsid w:val="00454086"/>
    <w:rsid w:val="00454534"/>
    <w:rsid w:val="00455532"/>
    <w:rsid w:val="00471052"/>
    <w:rsid w:val="0049260D"/>
    <w:rsid w:val="00497C7D"/>
    <w:rsid w:val="004A00FF"/>
    <w:rsid w:val="004A4137"/>
    <w:rsid w:val="004E1612"/>
    <w:rsid w:val="004E4660"/>
    <w:rsid w:val="004F0790"/>
    <w:rsid w:val="004F105D"/>
    <w:rsid w:val="004F4952"/>
    <w:rsid w:val="005031A9"/>
    <w:rsid w:val="00513A8B"/>
    <w:rsid w:val="00517536"/>
    <w:rsid w:val="0052346B"/>
    <w:rsid w:val="005249AE"/>
    <w:rsid w:val="00536B09"/>
    <w:rsid w:val="00547791"/>
    <w:rsid w:val="00551B1F"/>
    <w:rsid w:val="00572A79"/>
    <w:rsid w:val="005856CE"/>
    <w:rsid w:val="00585D26"/>
    <w:rsid w:val="00586462"/>
    <w:rsid w:val="00587C01"/>
    <w:rsid w:val="005A764B"/>
    <w:rsid w:val="005A7A7F"/>
    <w:rsid w:val="005B4356"/>
    <w:rsid w:val="005D0544"/>
    <w:rsid w:val="005F2334"/>
    <w:rsid w:val="00600359"/>
    <w:rsid w:val="00617EF7"/>
    <w:rsid w:val="00620D4A"/>
    <w:rsid w:val="006214E1"/>
    <w:rsid w:val="00632305"/>
    <w:rsid w:val="00635457"/>
    <w:rsid w:val="00640551"/>
    <w:rsid w:val="00641518"/>
    <w:rsid w:val="0065640C"/>
    <w:rsid w:val="00665E32"/>
    <w:rsid w:val="0067557E"/>
    <w:rsid w:val="00683B96"/>
    <w:rsid w:val="00686B48"/>
    <w:rsid w:val="006A57F9"/>
    <w:rsid w:val="006A5E07"/>
    <w:rsid w:val="006B00E9"/>
    <w:rsid w:val="006B029A"/>
    <w:rsid w:val="006B1E15"/>
    <w:rsid w:val="006B4ACF"/>
    <w:rsid w:val="006C3D65"/>
    <w:rsid w:val="006D464E"/>
    <w:rsid w:val="006F0384"/>
    <w:rsid w:val="006F2788"/>
    <w:rsid w:val="00701379"/>
    <w:rsid w:val="007053F0"/>
    <w:rsid w:val="00712406"/>
    <w:rsid w:val="00716296"/>
    <w:rsid w:val="00721A4D"/>
    <w:rsid w:val="0075750E"/>
    <w:rsid w:val="00767E02"/>
    <w:rsid w:val="00773F09"/>
    <w:rsid w:val="00780B48"/>
    <w:rsid w:val="00783EF0"/>
    <w:rsid w:val="00790041"/>
    <w:rsid w:val="00790A1A"/>
    <w:rsid w:val="00796E5C"/>
    <w:rsid w:val="007A6C51"/>
    <w:rsid w:val="007B464D"/>
    <w:rsid w:val="007C04EC"/>
    <w:rsid w:val="007D5DA3"/>
    <w:rsid w:val="007E3755"/>
    <w:rsid w:val="007E7287"/>
    <w:rsid w:val="00803E23"/>
    <w:rsid w:val="0081189E"/>
    <w:rsid w:val="00831C2B"/>
    <w:rsid w:val="00841BF6"/>
    <w:rsid w:val="0084206B"/>
    <w:rsid w:val="00843635"/>
    <w:rsid w:val="00850C3E"/>
    <w:rsid w:val="008551A3"/>
    <w:rsid w:val="0085590F"/>
    <w:rsid w:val="00857366"/>
    <w:rsid w:val="008658B1"/>
    <w:rsid w:val="00866AFD"/>
    <w:rsid w:val="00866D36"/>
    <w:rsid w:val="008979B8"/>
    <w:rsid w:val="008A1FA5"/>
    <w:rsid w:val="008B26CC"/>
    <w:rsid w:val="008C2C77"/>
    <w:rsid w:val="008D654C"/>
    <w:rsid w:val="008F0C6D"/>
    <w:rsid w:val="0090292A"/>
    <w:rsid w:val="009128EC"/>
    <w:rsid w:val="009129D4"/>
    <w:rsid w:val="00913312"/>
    <w:rsid w:val="0091401A"/>
    <w:rsid w:val="00925C79"/>
    <w:rsid w:val="00940CE3"/>
    <w:rsid w:val="00942394"/>
    <w:rsid w:val="0095548D"/>
    <w:rsid w:val="00965552"/>
    <w:rsid w:val="00967B61"/>
    <w:rsid w:val="009B49AB"/>
    <w:rsid w:val="009B54EA"/>
    <w:rsid w:val="009C3105"/>
    <w:rsid w:val="009C4CD5"/>
    <w:rsid w:val="009F2E1A"/>
    <w:rsid w:val="009F3AE0"/>
    <w:rsid w:val="00A03BBF"/>
    <w:rsid w:val="00A05507"/>
    <w:rsid w:val="00A05DAC"/>
    <w:rsid w:val="00A103CF"/>
    <w:rsid w:val="00A123C2"/>
    <w:rsid w:val="00A3510B"/>
    <w:rsid w:val="00A63747"/>
    <w:rsid w:val="00A64655"/>
    <w:rsid w:val="00A65389"/>
    <w:rsid w:val="00A75313"/>
    <w:rsid w:val="00A84576"/>
    <w:rsid w:val="00A92B32"/>
    <w:rsid w:val="00A93F12"/>
    <w:rsid w:val="00AA54BB"/>
    <w:rsid w:val="00AA7DBD"/>
    <w:rsid w:val="00AA7FF8"/>
    <w:rsid w:val="00AB6309"/>
    <w:rsid w:val="00AB75CB"/>
    <w:rsid w:val="00AE275D"/>
    <w:rsid w:val="00AE34CC"/>
    <w:rsid w:val="00AF64E4"/>
    <w:rsid w:val="00AF6B8F"/>
    <w:rsid w:val="00B037BE"/>
    <w:rsid w:val="00B12609"/>
    <w:rsid w:val="00B30C43"/>
    <w:rsid w:val="00B32F8F"/>
    <w:rsid w:val="00B40CFD"/>
    <w:rsid w:val="00B44409"/>
    <w:rsid w:val="00B4450E"/>
    <w:rsid w:val="00B5330E"/>
    <w:rsid w:val="00B557E5"/>
    <w:rsid w:val="00B637A2"/>
    <w:rsid w:val="00B8375F"/>
    <w:rsid w:val="00B87F53"/>
    <w:rsid w:val="00B92A13"/>
    <w:rsid w:val="00B92D33"/>
    <w:rsid w:val="00BA0354"/>
    <w:rsid w:val="00BA2B7B"/>
    <w:rsid w:val="00BA7562"/>
    <w:rsid w:val="00BA77CE"/>
    <w:rsid w:val="00BB25D9"/>
    <w:rsid w:val="00BB25FF"/>
    <w:rsid w:val="00BB3F96"/>
    <w:rsid w:val="00BB7D04"/>
    <w:rsid w:val="00BC6BCA"/>
    <w:rsid w:val="00BE6BAA"/>
    <w:rsid w:val="00BE7295"/>
    <w:rsid w:val="00BE7AFD"/>
    <w:rsid w:val="00C03C70"/>
    <w:rsid w:val="00C041BB"/>
    <w:rsid w:val="00C06D8F"/>
    <w:rsid w:val="00C073D8"/>
    <w:rsid w:val="00C14F35"/>
    <w:rsid w:val="00C202E3"/>
    <w:rsid w:val="00C35502"/>
    <w:rsid w:val="00C43055"/>
    <w:rsid w:val="00C610A7"/>
    <w:rsid w:val="00C62D8B"/>
    <w:rsid w:val="00C73E2C"/>
    <w:rsid w:val="00C75D49"/>
    <w:rsid w:val="00C8525A"/>
    <w:rsid w:val="00CB285E"/>
    <w:rsid w:val="00CB2A2E"/>
    <w:rsid w:val="00CC2588"/>
    <w:rsid w:val="00CC72A0"/>
    <w:rsid w:val="00CD7253"/>
    <w:rsid w:val="00CE2E62"/>
    <w:rsid w:val="00CE31E3"/>
    <w:rsid w:val="00CE7A61"/>
    <w:rsid w:val="00CF462D"/>
    <w:rsid w:val="00D1526E"/>
    <w:rsid w:val="00D33C17"/>
    <w:rsid w:val="00D44C48"/>
    <w:rsid w:val="00D50E6C"/>
    <w:rsid w:val="00D62546"/>
    <w:rsid w:val="00D660E7"/>
    <w:rsid w:val="00D671CE"/>
    <w:rsid w:val="00D7185B"/>
    <w:rsid w:val="00D93AC8"/>
    <w:rsid w:val="00DA00E0"/>
    <w:rsid w:val="00DB335E"/>
    <w:rsid w:val="00DB6095"/>
    <w:rsid w:val="00DB7AB2"/>
    <w:rsid w:val="00DC01E7"/>
    <w:rsid w:val="00DC149E"/>
    <w:rsid w:val="00DC2B41"/>
    <w:rsid w:val="00DC4934"/>
    <w:rsid w:val="00DD0F9F"/>
    <w:rsid w:val="00DD4ED0"/>
    <w:rsid w:val="00DD5E5D"/>
    <w:rsid w:val="00DD6362"/>
    <w:rsid w:val="00DF0604"/>
    <w:rsid w:val="00DF7158"/>
    <w:rsid w:val="00E020F5"/>
    <w:rsid w:val="00E02BB8"/>
    <w:rsid w:val="00E142C2"/>
    <w:rsid w:val="00E2547E"/>
    <w:rsid w:val="00E25D96"/>
    <w:rsid w:val="00E311B8"/>
    <w:rsid w:val="00E322AF"/>
    <w:rsid w:val="00E43F14"/>
    <w:rsid w:val="00E553C9"/>
    <w:rsid w:val="00E56727"/>
    <w:rsid w:val="00E57AC1"/>
    <w:rsid w:val="00E6183D"/>
    <w:rsid w:val="00E72F74"/>
    <w:rsid w:val="00E74CBB"/>
    <w:rsid w:val="00E76AD2"/>
    <w:rsid w:val="00E77FE1"/>
    <w:rsid w:val="00E839D8"/>
    <w:rsid w:val="00EA5A88"/>
    <w:rsid w:val="00EC054B"/>
    <w:rsid w:val="00F17137"/>
    <w:rsid w:val="00F20151"/>
    <w:rsid w:val="00F2084C"/>
    <w:rsid w:val="00F2383D"/>
    <w:rsid w:val="00F267C2"/>
    <w:rsid w:val="00F31088"/>
    <w:rsid w:val="00F602E0"/>
    <w:rsid w:val="00F616EE"/>
    <w:rsid w:val="00F87067"/>
    <w:rsid w:val="00F87D9D"/>
    <w:rsid w:val="00F932F8"/>
    <w:rsid w:val="00FB0275"/>
    <w:rsid w:val="00FC6CCC"/>
    <w:rsid w:val="00FE2D9B"/>
    <w:rsid w:val="00FF252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FF0B9"/>
  <w15:docId w15:val="{E1E10531-965F-9347-9B5C-2EC74FFC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t-EE" w:eastAsia="et-E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pPr>
      <w:suppressAutoHyphens/>
      <w:spacing w:after="160" w:line="254" w:lineRule="auto"/>
    </w:pPr>
    <w:rPr>
      <w:rFonts w:ascii="Calibri" w:eastAsia="Calibri" w:hAnsi="Calibri" w:cs="Calibri"/>
      <w:color w:val="000000"/>
      <w:sz w:val="22"/>
      <w:szCs w:val="22"/>
      <w:u w:color="000000"/>
    </w:rPr>
  </w:style>
  <w:style w:type="paragraph" w:styleId="Pealkiri1">
    <w:name w:val="heading 1"/>
    <w:basedOn w:val="Normaallaad"/>
    <w:next w:val="Normaallaad"/>
    <w:link w:val="Pealkiri1Mrk"/>
    <w:autoRedefine/>
    <w:uiPriority w:val="9"/>
    <w:qFormat/>
    <w:rsid w:val="00572A79"/>
    <w:pPr>
      <w:keepNext/>
      <w:keepLines/>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after="0" w:line="259" w:lineRule="auto"/>
      <w:outlineLvl w:val="0"/>
    </w:pPr>
    <w:rPr>
      <w:rFonts w:eastAsiaTheme="majorEastAsia" w:cstheme="majorBidi"/>
      <w:b/>
      <w:bCs/>
      <w:color w:val="365F91" w:themeColor="accent1" w:themeShade="BF"/>
      <w:kern w:val="2"/>
      <w:sz w:val="32"/>
      <w:szCs w:val="32"/>
      <w:bdr w:val="none" w:sz="0" w:space="0" w:color="auto"/>
      <w:lang w:eastAsia="en-US"/>
      <w14:ligatures w14:val="standardContextual"/>
    </w:rPr>
  </w:style>
  <w:style w:type="paragraph" w:styleId="Pealkiri2">
    <w:name w:val="heading 2"/>
    <w:basedOn w:val="Normaallaad"/>
    <w:next w:val="Normaallaad"/>
    <w:link w:val="Pealkiri2Mrk"/>
    <w:autoRedefine/>
    <w:uiPriority w:val="9"/>
    <w:unhideWhenUsed/>
    <w:qFormat/>
    <w:rsid w:val="00FC6CCC"/>
    <w:pPr>
      <w:keepNext/>
      <w:numPr>
        <w:numId w:val="3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40" w:line="259" w:lineRule="auto"/>
      <w:jc w:val="both"/>
      <w:outlineLvl w:val="1"/>
    </w:pPr>
    <w:rPr>
      <w:rFonts w:asciiTheme="minorHAnsi" w:eastAsiaTheme="minorHAnsi" w:hAnsiTheme="minorHAnsi" w:cstheme="minorBidi"/>
      <w:b/>
      <w:color w:val="365F91" w:themeColor="accent1" w:themeShade="BF"/>
      <w:kern w:val="2"/>
      <w:sz w:val="24"/>
      <w:szCs w:val="24"/>
      <w:bdr w:val="none" w:sz="0" w:space="0" w:color="auto"/>
      <w:lang w:eastAsia="en-US"/>
      <w14:ligatures w14:val="standardContextual"/>
    </w:rPr>
  </w:style>
  <w:style w:type="paragraph" w:styleId="Pealkiri3">
    <w:name w:val="heading 3"/>
    <w:basedOn w:val="Loend"/>
    <w:next w:val="Normaallaad"/>
    <w:link w:val="Pealkiri3Mrk"/>
    <w:autoRedefine/>
    <w:uiPriority w:val="9"/>
    <w:unhideWhenUsed/>
    <w:rsid w:val="00DB6095"/>
    <w:pPr>
      <w:keepNext/>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40" w:line="259" w:lineRule="auto"/>
      <w:jc w:val="both"/>
      <w:outlineLvl w:val="2"/>
    </w:pPr>
    <w:rPr>
      <w:rFonts w:eastAsiaTheme="minorHAnsi"/>
      <w:b/>
      <w:color w:val="auto"/>
      <w:kern w:val="2"/>
      <w:bdr w:val="none" w:sz="0" w:space="0" w:color="auto"/>
      <w:lang w:eastAsia="en-US"/>
      <w14:ligatures w14:val="standardContextual"/>
    </w:rPr>
  </w:style>
  <w:style w:type="paragraph" w:styleId="Pealkiri5">
    <w:name w:val="heading 5"/>
    <w:basedOn w:val="Normaallaad"/>
    <w:next w:val="Normaallaad"/>
    <w:link w:val="Pealkiri5Mrk"/>
    <w:uiPriority w:val="9"/>
    <w:semiHidden/>
    <w:unhideWhenUsed/>
    <w:qFormat/>
    <w:rsid w:val="00FC6CCC"/>
    <w:pPr>
      <w:keepNext/>
      <w:keepLines/>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40" w:after="0" w:line="259" w:lineRule="auto"/>
      <w:outlineLvl w:val="4"/>
    </w:pPr>
    <w:rPr>
      <w:rFonts w:asciiTheme="majorHAnsi" w:eastAsiaTheme="majorEastAsia" w:hAnsiTheme="majorHAnsi" w:cstheme="majorBidi"/>
      <w:color w:val="365F91" w:themeColor="accent1" w:themeShade="BF"/>
      <w:kern w:val="2"/>
      <w:bdr w:val="none" w:sz="0" w:space="0" w:color="auto"/>
      <w:lang w:eastAsia="en-US"/>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NoneA">
    <w:name w:val="None A"/>
  </w:style>
  <w:style w:type="character" w:customStyle="1" w:styleId="Hyperlink0">
    <w:name w:val="Hyperlink.0"/>
    <w:basedOn w:val="NoneA"/>
    <w:rPr>
      <w:color w:val="0000FF"/>
      <w:u w:val="single" w:color="0000FF"/>
      <w:lang w:val="en-US"/>
    </w:rPr>
  </w:style>
  <w:style w:type="paragraph" w:styleId="Pis">
    <w:name w:val="header"/>
    <w:pPr>
      <w:tabs>
        <w:tab w:val="center" w:pos="4703"/>
        <w:tab w:val="right" w:pos="9406"/>
      </w:tabs>
      <w:suppressAutoHyphens/>
      <w:spacing w:after="160" w:line="254" w:lineRule="auto"/>
    </w:pPr>
    <w:rPr>
      <w:rFonts w:eastAsia="Times New Roman"/>
      <w:color w:val="000000"/>
      <w:sz w:val="24"/>
      <w:szCs w:val="24"/>
      <w:u w:color="000000"/>
      <w:lang w:val="en-US"/>
    </w:rPr>
  </w:style>
  <w:style w:type="paragraph" w:styleId="Lihttekst">
    <w:name w:val="Plain Text"/>
    <w:pPr>
      <w:suppressAutoHyphens/>
      <w:spacing w:after="160" w:line="254" w:lineRule="auto"/>
    </w:pPr>
    <w:rPr>
      <w:rFonts w:ascii="Calibri" w:eastAsia="Calibri" w:hAnsi="Calibri" w:cs="Calibri"/>
      <w:color w:val="000000"/>
      <w:sz w:val="22"/>
      <w:szCs w:val="22"/>
      <w:u w:color="000000"/>
    </w:rPr>
  </w:style>
  <w:style w:type="paragraph" w:customStyle="1" w:styleId="Default">
    <w:name w:val="Default"/>
    <w:pPr>
      <w:suppressAutoHyphens/>
      <w:spacing w:after="160" w:line="254" w:lineRule="auto"/>
    </w:pPr>
    <w:rPr>
      <w:rFonts w:ascii="Calibri" w:eastAsia="Calibri" w:hAnsi="Calibri" w:cs="Calibri"/>
      <w:color w:val="000000"/>
      <w:sz w:val="24"/>
      <w:szCs w:val="24"/>
      <w:u w:color="000000"/>
    </w:rPr>
  </w:style>
  <w:style w:type="paragraph" w:styleId="Loendilik">
    <w:name w:val="List Paragraph"/>
    <w:aliases w:val="Dot pt,F5 List Paragraph,List Paragraph1,No Spacing1,List Paragraph Char Char Char,Indicator Text,Colorful List - Accent 11,Numbered Para 1,List Paragraph2,MAIN CONTENT,Normal numbered,Bullet List,FooterText,2,Akapit z listą BS,Bullet 1"/>
    <w:link w:val="LoendilikMrk"/>
    <w:uiPriority w:val="34"/>
    <w:qFormat/>
    <w:pPr>
      <w:suppressAutoHyphens/>
      <w:spacing w:after="160" w:line="254" w:lineRule="auto"/>
      <w:ind w:left="720"/>
    </w:pPr>
    <w:rPr>
      <w:rFonts w:ascii="Calibri" w:eastAsia="Calibri" w:hAnsi="Calibri" w:cs="Calibri"/>
      <w:color w:val="000000"/>
      <w:sz w:val="22"/>
      <w:szCs w:val="22"/>
      <w:u w:color="000000"/>
      <w:lang w:val="en-US"/>
    </w:rPr>
  </w:style>
  <w:style w:type="paragraph" w:customStyle="1" w:styleId="CommentText1">
    <w:name w:val="Comment Text1"/>
    <w:pPr>
      <w:suppressAutoHyphens/>
      <w:spacing w:after="160" w:line="254" w:lineRule="auto"/>
    </w:pPr>
    <w:rPr>
      <w:rFonts w:cs="Arial Unicode MS"/>
      <w:color w:val="000000"/>
      <w:u w:color="000000"/>
    </w:rPr>
  </w:style>
  <w:style w:type="paragraph" w:styleId="Jalus">
    <w:name w:val="footer"/>
    <w:basedOn w:val="Normaallaad"/>
    <w:link w:val="JalusMrk"/>
    <w:uiPriority w:val="99"/>
    <w:unhideWhenUsed/>
    <w:rsid w:val="005D0544"/>
    <w:pPr>
      <w:tabs>
        <w:tab w:val="center" w:pos="4536"/>
        <w:tab w:val="right" w:pos="9072"/>
      </w:tabs>
      <w:spacing w:after="0" w:line="240" w:lineRule="auto"/>
    </w:pPr>
  </w:style>
  <w:style w:type="character" w:customStyle="1" w:styleId="JalusMrk">
    <w:name w:val="Jalus Märk"/>
    <w:basedOn w:val="Liguvaikefont"/>
    <w:link w:val="Jalus"/>
    <w:uiPriority w:val="99"/>
    <w:rsid w:val="005D0544"/>
    <w:rPr>
      <w:rFonts w:ascii="Calibri" w:eastAsia="Calibri" w:hAnsi="Calibri" w:cs="Calibri"/>
      <w:color w:val="000000"/>
      <w:sz w:val="22"/>
      <w:szCs w:val="22"/>
      <w:u w:color="000000"/>
    </w:rPr>
  </w:style>
  <w:style w:type="paragraph" w:styleId="Vahedeta">
    <w:name w:val="No Spacing"/>
    <w:rsid w:val="00016438"/>
    <w:rPr>
      <w:rFonts w:ascii="Calibri" w:eastAsia="Calibri" w:hAnsi="Calibri" w:cs="Calibri"/>
      <w:color w:val="000000"/>
      <w:sz w:val="22"/>
      <w:szCs w:val="22"/>
      <w:u w:color="000000"/>
      <w:lang w:val="en-US" w:eastAsia="en-US"/>
    </w:rPr>
  </w:style>
  <w:style w:type="numbering" w:customStyle="1" w:styleId="ImportedStyle1">
    <w:name w:val="Imported Style 1"/>
    <w:rsid w:val="00016438"/>
    <w:pPr>
      <w:numPr>
        <w:numId w:val="1"/>
      </w:numPr>
    </w:pPr>
  </w:style>
  <w:style w:type="paragraph" w:styleId="Allmrkusetekst">
    <w:name w:val="footnote text"/>
    <w:link w:val="AllmrkusetekstMrk"/>
    <w:uiPriority w:val="99"/>
    <w:rsid w:val="00016438"/>
    <w:rPr>
      <w:rFonts w:ascii="Calibri" w:eastAsia="Calibri" w:hAnsi="Calibri" w:cs="Calibri"/>
      <w:color w:val="000000"/>
      <w:u w:color="000000"/>
      <w:lang w:val="en-US" w:eastAsia="en-US"/>
    </w:rPr>
  </w:style>
  <w:style w:type="character" w:customStyle="1" w:styleId="AllmrkusetekstMrk">
    <w:name w:val="Allmärkuse tekst Märk"/>
    <w:basedOn w:val="Liguvaikefont"/>
    <w:link w:val="Allmrkusetekst"/>
    <w:uiPriority w:val="99"/>
    <w:rsid w:val="00016438"/>
    <w:rPr>
      <w:rFonts w:ascii="Calibri" w:eastAsia="Calibri" w:hAnsi="Calibri" w:cs="Calibri"/>
      <w:color w:val="000000"/>
      <w:u w:color="000000"/>
      <w:lang w:val="en-US" w:eastAsia="en-US"/>
    </w:rPr>
  </w:style>
  <w:style w:type="numbering" w:customStyle="1" w:styleId="ImportedStyle2">
    <w:name w:val="Imported Style 2"/>
    <w:rsid w:val="00016438"/>
    <w:pPr>
      <w:numPr>
        <w:numId w:val="3"/>
      </w:numPr>
    </w:pPr>
  </w:style>
  <w:style w:type="numbering" w:customStyle="1" w:styleId="ImportedStyle3">
    <w:name w:val="Imported Style 3"/>
    <w:rsid w:val="00016438"/>
    <w:pPr>
      <w:numPr>
        <w:numId w:val="5"/>
      </w:numPr>
    </w:pPr>
  </w:style>
  <w:style w:type="numbering" w:customStyle="1" w:styleId="ImportedStyle4">
    <w:name w:val="Imported Style 4"/>
    <w:rsid w:val="00016438"/>
    <w:pPr>
      <w:numPr>
        <w:numId w:val="8"/>
      </w:numPr>
    </w:pPr>
  </w:style>
  <w:style w:type="paragraph" w:customStyle="1" w:styleId="Body">
    <w:name w:val="Body"/>
    <w:rsid w:val="00016438"/>
    <w:pPr>
      <w:spacing w:after="200" w:line="276" w:lineRule="auto"/>
    </w:pPr>
    <w:rPr>
      <w:rFonts w:ascii="Calibri" w:eastAsia="Calibri" w:hAnsi="Calibri" w:cs="Calibri"/>
      <w:color w:val="000000"/>
      <w:sz w:val="22"/>
      <w:szCs w:val="22"/>
      <w:u w:color="000000"/>
      <w:lang w:val="en-US" w:eastAsia="en-US"/>
    </w:rPr>
  </w:style>
  <w:style w:type="paragraph" w:styleId="Jutumullitekst">
    <w:name w:val="Balloon Text"/>
    <w:basedOn w:val="Normaallaad"/>
    <w:link w:val="JutumullitekstMrk"/>
    <w:uiPriority w:val="99"/>
    <w:semiHidden/>
    <w:unhideWhenUsed/>
    <w:rsid w:val="008C2C77"/>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8C2C77"/>
    <w:rPr>
      <w:rFonts w:ascii="Tahoma" w:eastAsia="Calibri" w:hAnsi="Tahoma" w:cs="Tahoma"/>
      <w:color w:val="000000"/>
      <w:sz w:val="16"/>
      <w:szCs w:val="16"/>
      <w:u w:color="000000"/>
    </w:rPr>
  </w:style>
  <w:style w:type="table" w:customStyle="1" w:styleId="TableNormal2">
    <w:name w:val="Table Normal2"/>
    <w:rsid w:val="00A05507"/>
    <w:tblPr>
      <w:tblInd w:w="0" w:type="dxa"/>
      <w:tblCellMar>
        <w:top w:w="0" w:type="dxa"/>
        <w:left w:w="0" w:type="dxa"/>
        <w:bottom w:w="0" w:type="dxa"/>
        <w:right w:w="0" w:type="dxa"/>
      </w:tblCellMar>
    </w:tblPr>
  </w:style>
  <w:style w:type="character" w:styleId="Allmrkuseviide">
    <w:name w:val="footnote reference"/>
    <w:basedOn w:val="Liguvaikefont"/>
    <w:uiPriority w:val="99"/>
    <w:unhideWhenUsed/>
    <w:rsid w:val="00CD7253"/>
    <w:rPr>
      <w:vertAlign w:val="superscript"/>
    </w:rPr>
  </w:style>
  <w:style w:type="character" w:styleId="Kommentaariviide">
    <w:name w:val="annotation reference"/>
    <w:basedOn w:val="Liguvaikefont"/>
    <w:uiPriority w:val="99"/>
    <w:semiHidden/>
    <w:unhideWhenUsed/>
    <w:rsid w:val="007A6C51"/>
    <w:rPr>
      <w:sz w:val="16"/>
      <w:szCs w:val="16"/>
    </w:rPr>
  </w:style>
  <w:style w:type="paragraph" w:styleId="Kommentaaritekst">
    <w:name w:val="annotation text"/>
    <w:basedOn w:val="Normaallaad"/>
    <w:link w:val="KommentaaritekstMrk"/>
    <w:uiPriority w:val="99"/>
    <w:semiHidden/>
    <w:unhideWhenUsed/>
    <w:rsid w:val="007A6C51"/>
    <w:pPr>
      <w:spacing w:line="240" w:lineRule="auto"/>
    </w:pPr>
    <w:rPr>
      <w:sz w:val="20"/>
      <w:szCs w:val="20"/>
    </w:rPr>
  </w:style>
  <w:style w:type="character" w:customStyle="1" w:styleId="KommentaaritekstMrk">
    <w:name w:val="Kommentaari tekst Märk"/>
    <w:basedOn w:val="Liguvaikefont"/>
    <w:link w:val="Kommentaaritekst"/>
    <w:uiPriority w:val="99"/>
    <w:semiHidden/>
    <w:rsid w:val="007A6C51"/>
    <w:rPr>
      <w:rFonts w:ascii="Calibri" w:eastAsia="Calibri" w:hAnsi="Calibri" w:cs="Calibri"/>
      <w:color w:val="000000"/>
      <w:u w:color="000000"/>
    </w:rPr>
  </w:style>
  <w:style w:type="paragraph" w:styleId="Kommentaariteema">
    <w:name w:val="annotation subject"/>
    <w:basedOn w:val="Kommentaaritekst"/>
    <w:next w:val="Kommentaaritekst"/>
    <w:link w:val="KommentaariteemaMrk"/>
    <w:uiPriority w:val="99"/>
    <w:semiHidden/>
    <w:unhideWhenUsed/>
    <w:rsid w:val="007A6C51"/>
    <w:rPr>
      <w:b/>
      <w:bCs/>
    </w:rPr>
  </w:style>
  <w:style w:type="character" w:customStyle="1" w:styleId="KommentaariteemaMrk">
    <w:name w:val="Kommentaari teema Märk"/>
    <w:basedOn w:val="KommentaaritekstMrk"/>
    <w:link w:val="Kommentaariteema"/>
    <w:uiPriority w:val="99"/>
    <w:semiHidden/>
    <w:rsid w:val="007A6C51"/>
    <w:rPr>
      <w:rFonts w:ascii="Calibri" w:eastAsia="Calibri" w:hAnsi="Calibri" w:cs="Calibri"/>
      <w:b/>
      <w:bCs/>
      <w:color w:val="000000"/>
      <w:u w:color="000000"/>
    </w:rPr>
  </w:style>
  <w:style w:type="character" w:customStyle="1" w:styleId="UnresolvedMention1">
    <w:name w:val="Unresolved Mention1"/>
    <w:basedOn w:val="Liguvaikefont"/>
    <w:uiPriority w:val="99"/>
    <w:semiHidden/>
    <w:unhideWhenUsed/>
    <w:rsid w:val="00E839D8"/>
    <w:rPr>
      <w:color w:val="605E5C"/>
      <w:shd w:val="clear" w:color="auto" w:fill="E1DFDD"/>
    </w:rPr>
  </w:style>
  <w:style w:type="character" w:styleId="Lahendamatamainimine">
    <w:name w:val="Unresolved Mention"/>
    <w:basedOn w:val="Liguvaikefont"/>
    <w:uiPriority w:val="99"/>
    <w:semiHidden/>
    <w:unhideWhenUsed/>
    <w:rsid w:val="00850C3E"/>
    <w:rPr>
      <w:color w:val="605E5C"/>
      <w:shd w:val="clear" w:color="auto" w:fill="E1DFDD"/>
    </w:rPr>
  </w:style>
  <w:style w:type="table" w:styleId="Kontuurtabel">
    <w:name w:val="Table Grid"/>
    <w:basedOn w:val="Normaaltabel"/>
    <w:uiPriority w:val="39"/>
    <w:rsid w:val="00F17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endilikMrk">
    <w:name w:val="Loendi lõik Märk"/>
    <w:aliases w:val="Dot pt Märk,F5 List Paragraph Märk,List Paragraph1 Märk,No Spacing1 Märk,List Paragraph Char Char Char Märk,Indicator Text Märk,Colorful List - Accent 11 Märk,Numbered Para 1 Märk,List Paragraph2 Märk,MAIN CONTENT Märk,Bullet List Märk"/>
    <w:link w:val="Loendilik"/>
    <w:uiPriority w:val="34"/>
    <w:qFormat/>
    <w:locked/>
    <w:rsid w:val="000B48E4"/>
    <w:rPr>
      <w:rFonts w:ascii="Calibri" w:eastAsia="Calibri" w:hAnsi="Calibri" w:cs="Calibri"/>
      <w:color w:val="000000"/>
      <w:sz w:val="22"/>
      <w:szCs w:val="22"/>
      <w:u w:color="000000"/>
      <w:lang w:val="en-US"/>
    </w:rPr>
  </w:style>
  <w:style w:type="character" w:customStyle="1" w:styleId="Pealkiri1Mrk">
    <w:name w:val="Pealkiri 1 Märk"/>
    <w:basedOn w:val="Liguvaikefont"/>
    <w:link w:val="Pealkiri1"/>
    <w:uiPriority w:val="9"/>
    <w:rsid w:val="00572A79"/>
    <w:rPr>
      <w:rFonts w:ascii="Calibri" w:eastAsiaTheme="majorEastAsia" w:hAnsi="Calibri" w:cstheme="majorBidi"/>
      <w:b/>
      <w:bCs/>
      <w:color w:val="365F91" w:themeColor="accent1" w:themeShade="BF"/>
      <w:kern w:val="2"/>
      <w:sz w:val="32"/>
      <w:szCs w:val="32"/>
      <w:u w:color="000000"/>
      <w:bdr w:val="none" w:sz="0" w:space="0" w:color="auto"/>
      <w:lang w:eastAsia="en-US"/>
      <w14:ligatures w14:val="standardContextual"/>
    </w:rPr>
  </w:style>
  <w:style w:type="character" w:customStyle="1" w:styleId="Pealkiri2Mrk">
    <w:name w:val="Pealkiri 2 Märk"/>
    <w:basedOn w:val="Liguvaikefont"/>
    <w:link w:val="Pealkiri2"/>
    <w:uiPriority w:val="9"/>
    <w:rsid w:val="00FC6CCC"/>
    <w:rPr>
      <w:rFonts w:asciiTheme="minorHAnsi" w:eastAsiaTheme="minorHAnsi" w:hAnsiTheme="minorHAnsi" w:cstheme="minorBidi"/>
      <w:b/>
      <w:color w:val="365F91" w:themeColor="accent1" w:themeShade="BF"/>
      <w:kern w:val="2"/>
      <w:sz w:val="24"/>
      <w:szCs w:val="24"/>
      <w:bdr w:val="none" w:sz="0" w:space="0" w:color="auto"/>
      <w:lang w:eastAsia="en-US"/>
      <w14:ligatures w14:val="standardContextual"/>
    </w:rPr>
  </w:style>
  <w:style w:type="character" w:customStyle="1" w:styleId="Pealkiri3Mrk">
    <w:name w:val="Pealkiri 3 Märk"/>
    <w:basedOn w:val="Liguvaikefont"/>
    <w:link w:val="Pealkiri3"/>
    <w:uiPriority w:val="9"/>
    <w:rsid w:val="00DB6095"/>
    <w:rPr>
      <w:rFonts w:ascii="Calibri" w:eastAsiaTheme="minorHAnsi" w:hAnsi="Calibri" w:cs="Calibri"/>
      <w:b/>
      <w:kern w:val="2"/>
      <w:sz w:val="22"/>
      <w:szCs w:val="22"/>
      <w:u w:color="000000"/>
      <w:bdr w:val="none" w:sz="0" w:space="0" w:color="auto"/>
      <w:lang w:eastAsia="en-US"/>
      <w14:ligatures w14:val="standardContextual"/>
    </w:rPr>
  </w:style>
  <w:style w:type="character" w:customStyle="1" w:styleId="Pealkiri5Mrk">
    <w:name w:val="Pealkiri 5 Märk"/>
    <w:basedOn w:val="Liguvaikefont"/>
    <w:link w:val="Pealkiri5"/>
    <w:uiPriority w:val="9"/>
    <w:semiHidden/>
    <w:rsid w:val="00FC6CCC"/>
    <w:rPr>
      <w:rFonts w:asciiTheme="majorHAnsi" w:eastAsiaTheme="majorEastAsia" w:hAnsiTheme="majorHAnsi" w:cstheme="majorBidi"/>
      <w:color w:val="365F91" w:themeColor="accent1" w:themeShade="BF"/>
      <w:kern w:val="2"/>
      <w:sz w:val="22"/>
      <w:szCs w:val="22"/>
      <w:bdr w:val="none" w:sz="0" w:space="0" w:color="auto"/>
      <w:lang w:eastAsia="en-US"/>
      <w14:ligatures w14:val="standardContextual"/>
    </w:rPr>
  </w:style>
  <w:style w:type="paragraph" w:styleId="Kehatekst">
    <w:name w:val="Body Text"/>
    <w:basedOn w:val="Normaallaad"/>
    <w:link w:val="KehatekstMrk"/>
    <w:uiPriority w:val="99"/>
    <w:unhideWhenUsed/>
    <w:rsid w:val="00FC6CC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76" w:lineRule="auto"/>
      <w:jc w:val="both"/>
    </w:pPr>
    <w:rPr>
      <w:rFonts w:asciiTheme="minorHAnsi" w:hAnsiTheme="minorHAnsi" w:cstheme="minorHAnsi"/>
      <w:color w:val="auto"/>
      <w:kern w:val="2"/>
      <w:sz w:val="20"/>
      <w:szCs w:val="20"/>
      <w:bdr w:val="none" w:sz="0" w:space="0" w:color="auto"/>
      <w:lang w:eastAsia="en-US"/>
      <w14:ligatures w14:val="standardContextual"/>
    </w:rPr>
  </w:style>
  <w:style w:type="character" w:customStyle="1" w:styleId="KehatekstMrk">
    <w:name w:val="Kehatekst Märk"/>
    <w:basedOn w:val="Liguvaikefont"/>
    <w:link w:val="Kehatekst"/>
    <w:uiPriority w:val="99"/>
    <w:rsid w:val="00FC6CCC"/>
    <w:rPr>
      <w:rFonts w:asciiTheme="minorHAnsi" w:eastAsia="Calibri" w:hAnsiTheme="minorHAnsi" w:cstheme="minorHAnsi"/>
      <w:kern w:val="2"/>
      <w:bdr w:val="none" w:sz="0" w:space="0" w:color="auto"/>
      <w:lang w:eastAsia="en-US"/>
      <w14:ligatures w14:val="standardContextual"/>
    </w:rPr>
  </w:style>
  <w:style w:type="paragraph" w:styleId="HTML-eelvormindatud">
    <w:name w:val="HTML Preformatted"/>
    <w:basedOn w:val="Normaallaad"/>
    <w:link w:val="HTML-eelvormindatudMrk"/>
    <w:uiPriority w:val="99"/>
    <w:unhideWhenUsed/>
    <w:rsid w:val="00FC6CC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sz w:val="20"/>
      <w:szCs w:val="20"/>
      <w:bdr w:val="none" w:sz="0" w:space="0" w:color="auto"/>
      <w:lang w:eastAsia="en-GB"/>
    </w:rPr>
  </w:style>
  <w:style w:type="character" w:customStyle="1" w:styleId="HTML-eelvormindatudMrk">
    <w:name w:val="HTML-eelvormindatud Märk"/>
    <w:basedOn w:val="Liguvaikefont"/>
    <w:link w:val="HTML-eelvormindatud"/>
    <w:uiPriority w:val="99"/>
    <w:rsid w:val="00FC6CCC"/>
    <w:rPr>
      <w:rFonts w:ascii="Courier New" w:eastAsia="Times New Roman" w:hAnsi="Courier New" w:cs="Courier New"/>
      <w:bdr w:val="none" w:sz="0" w:space="0" w:color="auto"/>
      <w:lang w:eastAsia="en-GB"/>
    </w:rPr>
  </w:style>
  <w:style w:type="character" w:customStyle="1" w:styleId="y2iqfc">
    <w:name w:val="y2iqfc"/>
    <w:basedOn w:val="Liguvaikefont"/>
    <w:rsid w:val="00FC6CCC"/>
  </w:style>
  <w:style w:type="paragraph" w:styleId="Sisukorrapealkiri">
    <w:name w:val="TOC Heading"/>
    <w:basedOn w:val="Pealkiri1"/>
    <w:next w:val="Normaallaad"/>
    <w:uiPriority w:val="39"/>
    <w:unhideWhenUsed/>
    <w:qFormat/>
    <w:rsid w:val="00FC6CCC"/>
    <w:pPr>
      <w:outlineLvl w:val="9"/>
    </w:pPr>
    <w:rPr>
      <w:kern w:val="0"/>
      <w:lang w:eastAsia="et-EE"/>
      <w14:ligatures w14:val="none"/>
    </w:rPr>
  </w:style>
  <w:style w:type="paragraph" w:styleId="SK1">
    <w:name w:val="toc 1"/>
    <w:basedOn w:val="Normaallaad"/>
    <w:next w:val="Normaallaad"/>
    <w:autoRedefine/>
    <w:uiPriority w:val="39"/>
    <w:unhideWhenUsed/>
    <w:rsid w:val="004430CC"/>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350"/>
      </w:tabs>
      <w:suppressAutoHyphens w:val="0"/>
      <w:spacing w:after="100" w:line="259" w:lineRule="auto"/>
    </w:pPr>
    <w:rPr>
      <w:rFonts w:asciiTheme="minorHAnsi" w:eastAsiaTheme="minorHAnsi" w:hAnsiTheme="minorHAnsi" w:cstheme="minorBidi"/>
      <w:color w:val="auto"/>
      <w:kern w:val="2"/>
      <w:bdr w:val="none" w:sz="0" w:space="0" w:color="auto"/>
      <w:lang w:eastAsia="en-US"/>
      <w14:ligatures w14:val="standardContextual"/>
    </w:rPr>
  </w:style>
  <w:style w:type="paragraph" w:styleId="SK2">
    <w:name w:val="toc 2"/>
    <w:basedOn w:val="Normaallaad"/>
    <w:next w:val="Normaallaad"/>
    <w:autoRedefine/>
    <w:uiPriority w:val="39"/>
    <w:unhideWhenUsed/>
    <w:rsid w:val="00572A79"/>
    <w:pPr>
      <w:pBdr>
        <w:top w:val="none" w:sz="0" w:space="0" w:color="auto"/>
        <w:left w:val="none" w:sz="0" w:space="0" w:color="auto"/>
        <w:bottom w:val="none" w:sz="0" w:space="0" w:color="auto"/>
        <w:right w:val="none" w:sz="0" w:space="0" w:color="auto"/>
        <w:between w:val="none" w:sz="0" w:space="0" w:color="auto"/>
        <w:bar w:val="none" w:sz="0" w:color="auto"/>
      </w:pBdr>
      <w:tabs>
        <w:tab w:val="left" w:pos="660"/>
        <w:tab w:val="right" w:leader="dot" w:pos="9356"/>
      </w:tabs>
      <w:suppressAutoHyphens w:val="0"/>
      <w:spacing w:after="100" w:line="259" w:lineRule="auto"/>
      <w:ind w:left="220"/>
    </w:pPr>
    <w:rPr>
      <w:rFonts w:asciiTheme="minorHAnsi" w:eastAsiaTheme="minorHAnsi" w:hAnsiTheme="minorHAnsi" w:cstheme="minorBidi"/>
      <w:b/>
      <w:bCs/>
      <w:noProof/>
      <w:color w:val="auto"/>
      <w:kern w:val="2"/>
      <w:bdr w:val="none" w:sz="0" w:space="0" w:color="auto"/>
      <w:lang w:eastAsia="en-US"/>
      <w14:ligatures w14:val="standardContextual"/>
    </w:rPr>
  </w:style>
  <w:style w:type="paragraph" w:styleId="SK3">
    <w:name w:val="toc 3"/>
    <w:basedOn w:val="Normaallaad"/>
    <w:next w:val="Normaallaad"/>
    <w:autoRedefine/>
    <w:uiPriority w:val="39"/>
    <w:unhideWhenUsed/>
    <w:rsid w:val="009F2E1A"/>
    <w:pPr>
      <w:pBdr>
        <w:top w:val="none" w:sz="0" w:space="0" w:color="auto"/>
        <w:left w:val="none" w:sz="0" w:space="0" w:color="auto"/>
        <w:bottom w:val="none" w:sz="0" w:space="0" w:color="auto"/>
        <w:right w:val="none" w:sz="0" w:space="0" w:color="auto"/>
        <w:between w:val="none" w:sz="0" w:space="0" w:color="auto"/>
        <w:bar w:val="none" w:sz="0" w:color="auto"/>
      </w:pBdr>
      <w:tabs>
        <w:tab w:val="left" w:pos="1100"/>
        <w:tab w:val="right" w:leader="dot" w:pos="9356"/>
      </w:tabs>
      <w:suppressAutoHyphens w:val="0"/>
      <w:spacing w:after="100" w:line="259" w:lineRule="auto"/>
      <w:ind w:left="440"/>
    </w:pPr>
    <w:rPr>
      <w:rFonts w:asciiTheme="minorHAnsi" w:eastAsiaTheme="minorHAnsi" w:hAnsiTheme="minorHAnsi" w:cstheme="minorBidi"/>
      <w:color w:val="auto"/>
      <w:kern w:val="2"/>
      <w:bdr w:val="none" w:sz="0" w:space="0" w:color="auto"/>
      <w:lang w:eastAsia="en-US"/>
      <w14:ligatures w14:val="standardContextual"/>
    </w:rPr>
  </w:style>
  <w:style w:type="paragraph" w:styleId="Loendijtk">
    <w:name w:val="List Continue"/>
    <w:basedOn w:val="Normaallaad"/>
    <w:uiPriority w:val="99"/>
    <w:semiHidden/>
    <w:unhideWhenUsed/>
    <w:rsid w:val="00FC6CCC"/>
    <w:pPr>
      <w:spacing w:after="120"/>
      <w:ind w:left="283"/>
      <w:contextualSpacing/>
    </w:pPr>
  </w:style>
  <w:style w:type="paragraph" w:styleId="Loend">
    <w:name w:val="List"/>
    <w:basedOn w:val="Normaallaad"/>
    <w:uiPriority w:val="99"/>
    <w:semiHidden/>
    <w:unhideWhenUsed/>
    <w:rsid w:val="00381E90"/>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761171">
      <w:bodyDiv w:val="1"/>
      <w:marLeft w:val="0"/>
      <w:marRight w:val="0"/>
      <w:marTop w:val="0"/>
      <w:marBottom w:val="0"/>
      <w:divBdr>
        <w:top w:val="none" w:sz="0" w:space="0" w:color="auto"/>
        <w:left w:val="none" w:sz="0" w:space="0" w:color="auto"/>
        <w:bottom w:val="none" w:sz="0" w:space="0" w:color="auto"/>
        <w:right w:val="none" w:sz="0" w:space="0" w:color="auto"/>
      </w:divBdr>
      <w:divsChild>
        <w:div w:id="1283146316">
          <w:marLeft w:val="720"/>
          <w:marRight w:val="0"/>
          <w:marTop w:val="0"/>
          <w:marBottom w:val="0"/>
          <w:divBdr>
            <w:top w:val="none" w:sz="0" w:space="0" w:color="auto"/>
            <w:left w:val="none" w:sz="0" w:space="0" w:color="auto"/>
            <w:bottom w:val="none" w:sz="0" w:space="0" w:color="auto"/>
            <w:right w:val="none" w:sz="0" w:space="0" w:color="auto"/>
          </w:divBdr>
        </w:div>
      </w:divsChild>
    </w:div>
    <w:div w:id="271404922">
      <w:bodyDiv w:val="1"/>
      <w:marLeft w:val="0"/>
      <w:marRight w:val="0"/>
      <w:marTop w:val="0"/>
      <w:marBottom w:val="0"/>
      <w:divBdr>
        <w:top w:val="none" w:sz="0" w:space="0" w:color="auto"/>
        <w:left w:val="none" w:sz="0" w:space="0" w:color="auto"/>
        <w:bottom w:val="none" w:sz="0" w:space="0" w:color="auto"/>
        <w:right w:val="none" w:sz="0" w:space="0" w:color="auto"/>
      </w:divBdr>
    </w:div>
    <w:div w:id="318190106">
      <w:bodyDiv w:val="1"/>
      <w:marLeft w:val="0"/>
      <w:marRight w:val="0"/>
      <w:marTop w:val="0"/>
      <w:marBottom w:val="0"/>
      <w:divBdr>
        <w:top w:val="none" w:sz="0" w:space="0" w:color="auto"/>
        <w:left w:val="none" w:sz="0" w:space="0" w:color="auto"/>
        <w:bottom w:val="none" w:sz="0" w:space="0" w:color="auto"/>
        <w:right w:val="none" w:sz="0" w:space="0" w:color="auto"/>
      </w:divBdr>
    </w:div>
    <w:div w:id="355544464">
      <w:bodyDiv w:val="1"/>
      <w:marLeft w:val="0"/>
      <w:marRight w:val="0"/>
      <w:marTop w:val="0"/>
      <w:marBottom w:val="0"/>
      <w:divBdr>
        <w:top w:val="none" w:sz="0" w:space="0" w:color="auto"/>
        <w:left w:val="none" w:sz="0" w:space="0" w:color="auto"/>
        <w:bottom w:val="none" w:sz="0" w:space="0" w:color="auto"/>
        <w:right w:val="none" w:sz="0" w:space="0" w:color="auto"/>
      </w:divBdr>
    </w:div>
    <w:div w:id="358748746">
      <w:bodyDiv w:val="1"/>
      <w:marLeft w:val="0"/>
      <w:marRight w:val="0"/>
      <w:marTop w:val="0"/>
      <w:marBottom w:val="0"/>
      <w:divBdr>
        <w:top w:val="none" w:sz="0" w:space="0" w:color="auto"/>
        <w:left w:val="none" w:sz="0" w:space="0" w:color="auto"/>
        <w:bottom w:val="none" w:sz="0" w:space="0" w:color="auto"/>
        <w:right w:val="none" w:sz="0" w:space="0" w:color="auto"/>
      </w:divBdr>
    </w:div>
    <w:div w:id="727386358">
      <w:bodyDiv w:val="1"/>
      <w:marLeft w:val="0"/>
      <w:marRight w:val="0"/>
      <w:marTop w:val="0"/>
      <w:marBottom w:val="0"/>
      <w:divBdr>
        <w:top w:val="none" w:sz="0" w:space="0" w:color="auto"/>
        <w:left w:val="none" w:sz="0" w:space="0" w:color="auto"/>
        <w:bottom w:val="none" w:sz="0" w:space="0" w:color="auto"/>
        <w:right w:val="none" w:sz="0" w:space="0" w:color="auto"/>
      </w:divBdr>
    </w:div>
    <w:div w:id="807892839">
      <w:bodyDiv w:val="1"/>
      <w:marLeft w:val="0"/>
      <w:marRight w:val="0"/>
      <w:marTop w:val="0"/>
      <w:marBottom w:val="0"/>
      <w:divBdr>
        <w:top w:val="none" w:sz="0" w:space="0" w:color="auto"/>
        <w:left w:val="none" w:sz="0" w:space="0" w:color="auto"/>
        <w:bottom w:val="none" w:sz="0" w:space="0" w:color="auto"/>
        <w:right w:val="none" w:sz="0" w:space="0" w:color="auto"/>
      </w:divBdr>
    </w:div>
    <w:div w:id="1179276169">
      <w:bodyDiv w:val="1"/>
      <w:marLeft w:val="0"/>
      <w:marRight w:val="0"/>
      <w:marTop w:val="0"/>
      <w:marBottom w:val="0"/>
      <w:divBdr>
        <w:top w:val="none" w:sz="0" w:space="0" w:color="auto"/>
        <w:left w:val="none" w:sz="0" w:space="0" w:color="auto"/>
        <w:bottom w:val="none" w:sz="0" w:space="0" w:color="auto"/>
        <w:right w:val="none" w:sz="0" w:space="0" w:color="auto"/>
      </w:divBdr>
    </w:div>
    <w:div w:id="1256406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1B1FC-5A25-4949-A6CB-21F728868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3571</Words>
  <Characters>20715</Characters>
  <Application>Microsoft Office Word</Application>
  <DocSecurity>0</DocSecurity>
  <Lines>172</Lines>
  <Paragraphs>48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24238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Piret Ehavald</dc:creator>
  <cp:lastModifiedBy>Ravimitootjate Liit</cp:lastModifiedBy>
  <cp:revision>2</cp:revision>
  <cp:lastPrinted>2023-07-06T08:42:00Z</cp:lastPrinted>
  <dcterms:created xsi:type="dcterms:W3CDTF">2024-07-01T08:47:00Z</dcterms:created>
  <dcterms:modified xsi:type="dcterms:W3CDTF">2024-07-01T08:47:00Z</dcterms:modified>
</cp:coreProperties>
</file>