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C765E" w14:textId="77777777" w:rsidR="00EA3C8F" w:rsidRPr="00042190" w:rsidRDefault="00EA3C8F" w:rsidP="00042190">
      <w:pPr>
        <w:spacing w:after="0" w:line="240" w:lineRule="auto"/>
        <w:contextualSpacing/>
        <w:jc w:val="right"/>
        <w:rPr>
          <w:rFonts w:eastAsia="Calibri" w:cstheme="minorHAnsi"/>
          <w:b/>
          <w:bCs/>
        </w:rPr>
      </w:pPr>
      <w:r w:rsidRPr="00042190">
        <w:rPr>
          <w:rFonts w:eastAsia="Calibri" w:cstheme="minorHAnsi"/>
          <w:b/>
          <w:bCs/>
          <w:noProof/>
        </w:rPr>
        <w:drawing>
          <wp:inline distT="0" distB="0" distL="0" distR="0" wp14:anchorId="5426A745" wp14:editId="61A29DC8">
            <wp:extent cx="2872154" cy="429812"/>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954279" cy="442102"/>
                    </a:xfrm>
                    <a:prstGeom prst="rect">
                      <a:avLst/>
                    </a:prstGeom>
                  </pic:spPr>
                </pic:pic>
              </a:graphicData>
            </a:graphic>
          </wp:inline>
        </w:drawing>
      </w:r>
    </w:p>
    <w:p w14:paraId="686A93EF" w14:textId="77777777" w:rsidR="00EA3C8F" w:rsidRPr="00042190" w:rsidRDefault="00EA3C8F" w:rsidP="00B22A8C">
      <w:pPr>
        <w:spacing w:after="0" w:line="240" w:lineRule="auto"/>
        <w:contextualSpacing/>
        <w:jc w:val="both"/>
        <w:rPr>
          <w:rFonts w:eastAsia="Calibri" w:cstheme="minorHAnsi"/>
          <w:b/>
          <w:bCs/>
        </w:rPr>
      </w:pPr>
    </w:p>
    <w:p w14:paraId="0EDF5A6E" w14:textId="77777777" w:rsidR="00EA3C8F" w:rsidRPr="00042190" w:rsidRDefault="00EA3C8F" w:rsidP="00B22A8C">
      <w:pPr>
        <w:spacing w:after="0" w:line="240" w:lineRule="auto"/>
        <w:contextualSpacing/>
        <w:jc w:val="both"/>
        <w:rPr>
          <w:rFonts w:eastAsia="Calibri" w:cstheme="minorHAnsi"/>
          <w:b/>
          <w:bCs/>
        </w:rPr>
      </w:pPr>
    </w:p>
    <w:p w14:paraId="69207BEE" w14:textId="4BD35FFC" w:rsidR="003B197C" w:rsidRPr="00042190" w:rsidRDefault="00EA3C8F" w:rsidP="00B22A8C">
      <w:pPr>
        <w:spacing w:after="0" w:line="240" w:lineRule="auto"/>
        <w:contextualSpacing/>
        <w:jc w:val="both"/>
        <w:rPr>
          <w:rFonts w:eastAsia="Calibri" w:cstheme="minorHAnsi"/>
          <w:b/>
          <w:bCs/>
        </w:rPr>
      </w:pPr>
      <w:r w:rsidRPr="00042190">
        <w:rPr>
          <w:rFonts w:eastAsia="Calibri" w:cstheme="minorHAnsi"/>
          <w:b/>
          <w:bCs/>
        </w:rPr>
        <w:t xml:space="preserve">REK koosolek </w:t>
      </w:r>
      <w:r w:rsidR="00A026BF" w:rsidRPr="00042190">
        <w:rPr>
          <w:rFonts w:eastAsia="Calibri" w:cstheme="minorHAnsi"/>
          <w:b/>
          <w:bCs/>
        </w:rPr>
        <w:t>16</w:t>
      </w:r>
      <w:r w:rsidR="003B197C" w:rsidRPr="00042190">
        <w:rPr>
          <w:rFonts w:eastAsia="Calibri" w:cstheme="minorHAnsi"/>
          <w:b/>
          <w:bCs/>
        </w:rPr>
        <w:t>.0</w:t>
      </w:r>
      <w:r w:rsidR="00A026BF" w:rsidRPr="00042190">
        <w:rPr>
          <w:rFonts w:eastAsia="Calibri" w:cstheme="minorHAnsi"/>
          <w:b/>
          <w:bCs/>
        </w:rPr>
        <w:t>1</w:t>
      </w:r>
      <w:r w:rsidR="003B197C" w:rsidRPr="00042190">
        <w:rPr>
          <w:rFonts w:eastAsia="Calibri" w:cstheme="minorHAnsi"/>
          <w:b/>
          <w:bCs/>
        </w:rPr>
        <w:t>.202</w:t>
      </w:r>
      <w:r w:rsidR="00A026BF" w:rsidRPr="00042190">
        <w:rPr>
          <w:rFonts w:eastAsia="Calibri" w:cstheme="minorHAnsi"/>
          <w:b/>
          <w:bCs/>
        </w:rPr>
        <w:t>3</w:t>
      </w:r>
      <w:r w:rsidR="003B197C" w:rsidRPr="00042190">
        <w:rPr>
          <w:rFonts w:eastAsia="Calibri" w:cstheme="minorHAnsi"/>
          <w:b/>
          <w:bCs/>
        </w:rPr>
        <w:t xml:space="preserve"> küsimu</w:t>
      </w:r>
      <w:r w:rsidR="00A026BF" w:rsidRPr="00042190">
        <w:rPr>
          <w:rFonts w:eastAsia="Calibri" w:cstheme="minorHAnsi"/>
          <w:b/>
          <w:bCs/>
        </w:rPr>
        <w:t>sed</w:t>
      </w:r>
      <w:r w:rsidRPr="00042190">
        <w:rPr>
          <w:rFonts w:eastAsia="Calibri" w:cstheme="minorHAnsi"/>
          <w:b/>
          <w:bCs/>
        </w:rPr>
        <w:t xml:space="preserve"> </w:t>
      </w:r>
      <w:r w:rsidR="003B197C" w:rsidRPr="00042190">
        <w:rPr>
          <w:rFonts w:eastAsia="Calibri" w:cstheme="minorHAnsi"/>
          <w:b/>
          <w:bCs/>
        </w:rPr>
        <w:t>turu-uuringus osalemise tasustamise k</w:t>
      </w:r>
      <w:r w:rsidR="00A026BF" w:rsidRPr="00042190">
        <w:rPr>
          <w:rFonts w:eastAsia="Calibri" w:cstheme="minorHAnsi"/>
          <w:b/>
          <w:bCs/>
        </w:rPr>
        <w:t>ohta kinkekaartidega ning k</w:t>
      </w:r>
      <w:r w:rsidR="00A026BF" w:rsidRPr="00042190">
        <w:rPr>
          <w:rFonts w:eastAsia="Calibri" w:cstheme="minorHAnsi"/>
          <w:b/>
          <w:bCs/>
        </w:rPr>
        <w:t>ingitus</w:t>
      </w:r>
      <w:r w:rsidR="00B22A8C" w:rsidRPr="00042190">
        <w:rPr>
          <w:rFonts w:eastAsia="Calibri" w:cstheme="minorHAnsi"/>
          <w:b/>
          <w:bCs/>
        </w:rPr>
        <w:t>te kohta</w:t>
      </w:r>
      <w:r w:rsidR="00A026BF" w:rsidRPr="00042190">
        <w:rPr>
          <w:rFonts w:eastAsia="Calibri" w:cstheme="minorHAnsi"/>
          <w:b/>
          <w:bCs/>
        </w:rPr>
        <w:t xml:space="preserve"> tervishoiu- ja patsiendiorganisatsioonidele</w:t>
      </w:r>
    </w:p>
    <w:p w14:paraId="1E3F47E8" w14:textId="77777777" w:rsidR="003B197C" w:rsidRPr="00042190" w:rsidRDefault="003B197C" w:rsidP="00B22A8C">
      <w:pPr>
        <w:spacing w:after="0" w:line="240" w:lineRule="auto"/>
        <w:contextualSpacing/>
        <w:jc w:val="both"/>
        <w:rPr>
          <w:rFonts w:eastAsia="Calibri" w:cstheme="minorHAnsi"/>
        </w:rPr>
      </w:pPr>
    </w:p>
    <w:p w14:paraId="7B6A6D43" w14:textId="77777777" w:rsidR="003B197C" w:rsidRPr="00042190" w:rsidRDefault="003B197C" w:rsidP="00B22A8C">
      <w:pPr>
        <w:spacing w:after="0" w:line="240" w:lineRule="auto"/>
        <w:contextualSpacing/>
        <w:jc w:val="both"/>
        <w:rPr>
          <w:rFonts w:eastAsia="Calibri" w:cstheme="minorHAnsi"/>
        </w:rPr>
      </w:pPr>
    </w:p>
    <w:p w14:paraId="3CEE8BDE" w14:textId="468AD369" w:rsidR="003B197C" w:rsidRPr="00042190" w:rsidRDefault="003B197C" w:rsidP="00B22A8C">
      <w:pPr>
        <w:spacing w:after="0" w:line="240" w:lineRule="auto"/>
        <w:contextualSpacing/>
        <w:jc w:val="both"/>
        <w:rPr>
          <w:rFonts w:eastAsia="Calibri" w:cstheme="minorHAnsi"/>
          <w:b/>
          <w:bCs/>
        </w:rPr>
      </w:pPr>
      <w:r w:rsidRPr="00042190">
        <w:rPr>
          <w:rFonts w:eastAsia="Calibri" w:cstheme="minorHAnsi"/>
          <w:b/>
          <w:bCs/>
        </w:rPr>
        <w:t>1.</w:t>
      </w:r>
      <w:r w:rsidRPr="00042190">
        <w:rPr>
          <w:rFonts w:eastAsia="Calibri" w:cstheme="minorHAnsi"/>
          <w:b/>
          <w:bCs/>
        </w:rPr>
        <w:tab/>
      </w:r>
      <w:r w:rsidR="00EA3C8F" w:rsidRPr="00042190">
        <w:rPr>
          <w:rFonts w:eastAsia="Calibri" w:cstheme="minorHAnsi"/>
          <w:b/>
          <w:bCs/>
        </w:rPr>
        <w:t>K</w:t>
      </w:r>
      <w:r w:rsidRPr="00042190">
        <w:rPr>
          <w:rFonts w:eastAsia="Calibri" w:cstheme="minorHAnsi"/>
          <w:b/>
          <w:bCs/>
        </w:rPr>
        <w:t>üsimus turu-uuringus osalemise tasustamise kohta</w:t>
      </w:r>
      <w:r w:rsidR="00A026BF" w:rsidRPr="00042190">
        <w:rPr>
          <w:rFonts w:eastAsia="Calibri" w:cstheme="minorHAnsi"/>
          <w:b/>
          <w:bCs/>
        </w:rPr>
        <w:t xml:space="preserve"> </w:t>
      </w:r>
      <w:r w:rsidR="00A026BF" w:rsidRPr="00042190">
        <w:rPr>
          <w:rFonts w:eastAsia="Calibri" w:cstheme="minorHAnsi"/>
          <w:b/>
          <w:bCs/>
        </w:rPr>
        <w:t>kinkekaartidega</w:t>
      </w:r>
    </w:p>
    <w:p w14:paraId="53E6690D" w14:textId="57C2DEB1" w:rsidR="00A026BF" w:rsidRPr="00042190" w:rsidRDefault="00A026BF" w:rsidP="00B22A8C">
      <w:pPr>
        <w:spacing w:after="0" w:line="240" w:lineRule="auto"/>
        <w:contextualSpacing/>
        <w:jc w:val="both"/>
        <w:rPr>
          <w:rFonts w:cstheme="minorHAnsi"/>
        </w:rPr>
      </w:pPr>
    </w:p>
    <w:p w14:paraId="69E605D6" w14:textId="02375070" w:rsidR="00AC6CE3" w:rsidRPr="00042190" w:rsidRDefault="00AC6CE3" w:rsidP="00B22A8C">
      <w:pPr>
        <w:spacing w:after="0" w:line="240" w:lineRule="auto"/>
        <w:contextualSpacing/>
        <w:jc w:val="both"/>
        <w:rPr>
          <w:rFonts w:cstheme="minorHAnsi"/>
          <w:b/>
          <w:bCs/>
          <w:u w:val="single"/>
        </w:rPr>
      </w:pPr>
      <w:r w:rsidRPr="00042190">
        <w:rPr>
          <w:rFonts w:cstheme="minorHAnsi"/>
          <w:b/>
          <w:bCs/>
          <w:u w:val="single"/>
        </w:rPr>
        <w:t>TAUSTINFO</w:t>
      </w:r>
    </w:p>
    <w:p w14:paraId="7493F0D4" w14:textId="657F7290" w:rsidR="00A026BF" w:rsidRPr="00042190" w:rsidRDefault="007B3615" w:rsidP="00B22A8C">
      <w:pPr>
        <w:spacing w:after="0" w:line="240" w:lineRule="auto"/>
        <w:contextualSpacing/>
        <w:jc w:val="both"/>
        <w:rPr>
          <w:rFonts w:cstheme="minorHAnsi"/>
        </w:rPr>
      </w:pPr>
      <w:r w:rsidRPr="00042190">
        <w:rPr>
          <w:rFonts w:cstheme="minorHAnsi"/>
        </w:rPr>
        <w:t>Ravimitootjate Liidu e</w:t>
      </w:r>
      <w:r w:rsidR="00EA3C8F" w:rsidRPr="00042190">
        <w:rPr>
          <w:rFonts w:cstheme="minorHAnsi"/>
        </w:rPr>
        <w:t xml:space="preserve">etikakomiteele </w:t>
      </w:r>
      <w:r w:rsidRPr="00042190">
        <w:rPr>
          <w:rFonts w:cstheme="minorHAnsi"/>
        </w:rPr>
        <w:t xml:space="preserve">(REK) </w:t>
      </w:r>
      <w:r w:rsidR="00EA3C8F" w:rsidRPr="00042190">
        <w:rPr>
          <w:rFonts w:cstheme="minorHAnsi"/>
        </w:rPr>
        <w:t>esitati</w:t>
      </w:r>
      <w:r w:rsidR="000002E1" w:rsidRPr="00042190">
        <w:rPr>
          <w:rFonts w:cstheme="minorHAnsi"/>
        </w:rPr>
        <w:t xml:space="preserve"> 1</w:t>
      </w:r>
      <w:r w:rsidR="00A026BF" w:rsidRPr="00042190">
        <w:rPr>
          <w:rFonts w:cstheme="minorHAnsi"/>
        </w:rPr>
        <w:t>2</w:t>
      </w:r>
      <w:r w:rsidR="000002E1" w:rsidRPr="00042190">
        <w:rPr>
          <w:rFonts w:cstheme="minorHAnsi"/>
        </w:rPr>
        <w:t>.</w:t>
      </w:r>
      <w:r w:rsidR="00A026BF" w:rsidRPr="00042190">
        <w:rPr>
          <w:rFonts w:cstheme="minorHAnsi"/>
        </w:rPr>
        <w:t>12</w:t>
      </w:r>
      <w:r w:rsidR="000002E1" w:rsidRPr="00042190">
        <w:rPr>
          <w:rFonts w:cstheme="minorHAnsi"/>
        </w:rPr>
        <w:t>.202</w:t>
      </w:r>
      <w:r w:rsidR="00A026BF" w:rsidRPr="00042190">
        <w:rPr>
          <w:rFonts w:cstheme="minorHAnsi"/>
        </w:rPr>
        <w:t>2</w:t>
      </w:r>
      <w:r w:rsidR="000002E1" w:rsidRPr="00042190">
        <w:rPr>
          <w:rFonts w:cstheme="minorHAnsi"/>
        </w:rPr>
        <w:t xml:space="preserve"> küsimus turu-uuringus osalemise tasustamise kohta</w:t>
      </w:r>
      <w:r w:rsidR="00A026BF" w:rsidRPr="00042190">
        <w:rPr>
          <w:rFonts w:cstheme="minorHAnsi"/>
        </w:rPr>
        <w:t xml:space="preserve"> alljärgnevalt:</w:t>
      </w:r>
    </w:p>
    <w:p w14:paraId="26AD837A" w14:textId="77777777" w:rsidR="00B22A8C" w:rsidRPr="00042190" w:rsidRDefault="00B22A8C" w:rsidP="00B22A8C">
      <w:pPr>
        <w:spacing w:after="0" w:line="240" w:lineRule="auto"/>
        <w:contextualSpacing/>
        <w:jc w:val="both"/>
        <w:rPr>
          <w:rFonts w:cstheme="minorHAnsi"/>
        </w:rPr>
      </w:pPr>
    </w:p>
    <w:p w14:paraId="20FBFC51" w14:textId="45258615" w:rsidR="00A026BF" w:rsidRPr="00042190" w:rsidRDefault="00A026BF" w:rsidP="00B22A8C">
      <w:pPr>
        <w:pStyle w:val="Loendilik"/>
        <w:numPr>
          <w:ilvl w:val="0"/>
          <w:numId w:val="5"/>
        </w:numPr>
        <w:spacing w:after="0" w:line="240" w:lineRule="auto"/>
        <w:jc w:val="both"/>
        <w:rPr>
          <w:rFonts w:cstheme="minorHAnsi"/>
        </w:rPr>
      </w:pPr>
      <w:r w:rsidRPr="00042190">
        <w:rPr>
          <w:rFonts w:cstheme="minorHAnsi"/>
        </w:rPr>
        <w:t>Kas arstile on lubatud turu-uuringus osalemise eest  tasuda  kinkekaardiga? Kas 20</w:t>
      </w:r>
      <w:r w:rsidR="00AC6CE3" w:rsidRPr="00042190">
        <w:rPr>
          <w:rFonts w:cstheme="minorHAnsi"/>
        </w:rPr>
        <w:t>-</w:t>
      </w:r>
      <w:r w:rsidRPr="00042190">
        <w:rPr>
          <w:rFonts w:cstheme="minorHAnsi"/>
        </w:rPr>
        <w:t xml:space="preserve">eurone kinkekaart vastab “minimaalse” tasu tingimusele, kui uuringus osalemisele kulub aega orienteeruvalt pool tundi. </w:t>
      </w:r>
    </w:p>
    <w:p w14:paraId="1533C0F2" w14:textId="13E299C6" w:rsidR="00B22A8C" w:rsidRPr="00042190" w:rsidRDefault="00B22A8C" w:rsidP="00B22A8C">
      <w:pPr>
        <w:spacing w:after="0" w:line="240" w:lineRule="auto"/>
        <w:contextualSpacing/>
        <w:jc w:val="both"/>
        <w:rPr>
          <w:rFonts w:cstheme="minorHAnsi"/>
        </w:rPr>
      </w:pPr>
    </w:p>
    <w:p w14:paraId="568DF2A4" w14:textId="4FE93E4C" w:rsidR="00B22A8C" w:rsidRPr="00042190" w:rsidRDefault="00B22A8C" w:rsidP="00B22A8C">
      <w:pPr>
        <w:spacing w:after="0" w:line="240" w:lineRule="auto"/>
        <w:contextualSpacing/>
        <w:jc w:val="both"/>
        <w:rPr>
          <w:rFonts w:cstheme="minorHAnsi"/>
        </w:rPr>
      </w:pPr>
      <w:r w:rsidRPr="00042190">
        <w:rPr>
          <w:rFonts w:cstheme="minorHAnsi"/>
        </w:rPr>
        <w:t xml:space="preserve">Nimelt on firmal soov </w:t>
      </w:r>
      <w:r w:rsidRPr="00042190">
        <w:rPr>
          <w:rFonts w:cstheme="minorHAnsi"/>
        </w:rPr>
        <w:t>teha brändit</w:t>
      </w:r>
      <w:r w:rsidR="00AC6CE3" w:rsidRPr="00042190">
        <w:rPr>
          <w:rFonts w:cstheme="minorHAnsi"/>
        </w:rPr>
        <w:t xml:space="preserve">untuse </w:t>
      </w:r>
      <w:r w:rsidRPr="00042190">
        <w:rPr>
          <w:rFonts w:cstheme="minorHAnsi"/>
        </w:rPr>
        <w:t xml:space="preserve">uuring arstide seas. </w:t>
      </w:r>
      <w:r w:rsidRPr="00042190">
        <w:rPr>
          <w:rFonts w:cstheme="minorHAnsi"/>
        </w:rPr>
        <w:t>Uuringu l</w:t>
      </w:r>
      <w:r w:rsidRPr="00042190">
        <w:rPr>
          <w:rFonts w:cstheme="minorHAnsi"/>
        </w:rPr>
        <w:t>äbiviija</w:t>
      </w:r>
      <w:r w:rsidRPr="00042190">
        <w:rPr>
          <w:rFonts w:cstheme="minorHAnsi"/>
        </w:rPr>
        <w:t>ks on</w:t>
      </w:r>
      <w:r w:rsidRPr="00042190">
        <w:rPr>
          <w:rFonts w:cstheme="minorHAnsi"/>
        </w:rPr>
        <w:t xml:space="preserve"> kolmas</w:t>
      </w:r>
      <w:r w:rsidRPr="00042190">
        <w:rPr>
          <w:rFonts w:cstheme="minorHAnsi"/>
        </w:rPr>
        <w:t xml:space="preserve"> </w:t>
      </w:r>
      <w:r w:rsidRPr="00042190">
        <w:rPr>
          <w:rFonts w:cstheme="minorHAnsi"/>
        </w:rPr>
        <w:t>osapool</w:t>
      </w:r>
      <w:r w:rsidRPr="00042190">
        <w:rPr>
          <w:rFonts w:cstheme="minorHAnsi"/>
        </w:rPr>
        <w:t xml:space="preserve">, </w:t>
      </w:r>
      <w:r w:rsidRPr="00042190">
        <w:rPr>
          <w:rFonts w:cstheme="minorHAnsi"/>
        </w:rPr>
        <w:t>turu</w:t>
      </w:r>
      <w:r w:rsidRPr="00042190">
        <w:rPr>
          <w:rFonts w:cstheme="minorHAnsi"/>
        </w:rPr>
        <w:t>-</w:t>
      </w:r>
      <w:r w:rsidRPr="00042190">
        <w:rPr>
          <w:rFonts w:cstheme="minorHAnsi"/>
        </w:rPr>
        <w:t>uuringute firma, kes soovitas kasutada kinkekaarte, et tasustada vastamise vaeva ning saada võimlaikult suur vastamise %. Selektsiooni arstide valikuks teeb uuringufirma, ravimfirma ei tea (nimeliselt) keda küsitleti.</w:t>
      </w:r>
    </w:p>
    <w:p w14:paraId="2C550572" w14:textId="54BEB71C" w:rsidR="00B22A8C" w:rsidRPr="00042190" w:rsidRDefault="00B22A8C" w:rsidP="00B22A8C">
      <w:pPr>
        <w:spacing w:after="0" w:line="240" w:lineRule="auto"/>
        <w:contextualSpacing/>
        <w:jc w:val="both"/>
        <w:rPr>
          <w:rFonts w:cstheme="minorHAnsi"/>
        </w:rPr>
      </w:pPr>
    </w:p>
    <w:p w14:paraId="7731F30E" w14:textId="5E28A8CA" w:rsidR="00B22A8C" w:rsidRPr="00042190" w:rsidRDefault="00B22A8C" w:rsidP="00B22A8C">
      <w:pPr>
        <w:spacing w:after="0" w:line="240" w:lineRule="auto"/>
        <w:contextualSpacing/>
        <w:jc w:val="both"/>
        <w:rPr>
          <w:rFonts w:cstheme="minorHAnsi"/>
        </w:rPr>
      </w:pPr>
      <w:r w:rsidRPr="00042190">
        <w:rPr>
          <w:rFonts w:cstheme="minorHAnsi"/>
        </w:rPr>
        <w:t xml:space="preserve">Küsimuse esitajale firmale on teada, et varasemalt on teatud firmad </w:t>
      </w:r>
      <w:r w:rsidRPr="00042190">
        <w:rPr>
          <w:rFonts w:cstheme="minorHAnsi"/>
        </w:rPr>
        <w:t xml:space="preserve">globaalsel tasandil viinud läbi sarnaseid uuringuid ning pakkunud vastajatele kinkekaarte. </w:t>
      </w:r>
    </w:p>
    <w:p w14:paraId="659DDA29" w14:textId="248411FF" w:rsidR="00B22A8C" w:rsidRPr="00042190" w:rsidRDefault="00B22A8C" w:rsidP="00B22A8C">
      <w:pPr>
        <w:spacing w:after="0" w:line="240" w:lineRule="auto"/>
        <w:contextualSpacing/>
        <w:jc w:val="both"/>
        <w:rPr>
          <w:rFonts w:cstheme="minorHAnsi"/>
        </w:rPr>
      </w:pPr>
    </w:p>
    <w:p w14:paraId="25351AF8" w14:textId="7706B7B7" w:rsidR="00B22A8C" w:rsidRPr="00042190" w:rsidRDefault="00B22A8C" w:rsidP="00B22A8C">
      <w:pPr>
        <w:spacing w:after="0" w:line="240" w:lineRule="auto"/>
        <w:contextualSpacing/>
        <w:jc w:val="both"/>
        <w:rPr>
          <w:rFonts w:cstheme="minorHAnsi"/>
          <w:b/>
          <w:bCs/>
          <w:u w:val="single"/>
        </w:rPr>
      </w:pPr>
      <w:r w:rsidRPr="00042190">
        <w:rPr>
          <w:rFonts w:cstheme="minorHAnsi"/>
          <w:b/>
          <w:bCs/>
          <w:u w:val="single"/>
        </w:rPr>
        <w:t>ARUTELU</w:t>
      </w:r>
    </w:p>
    <w:p w14:paraId="36B485E6" w14:textId="1ED18E78" w:rsidR="00B22A8C" w:rsidRPr="00042190" w:rsidRDefault="00B22A8C" w:rsidP="00B22A8C">
      <w:pPr>
        <w:spacing w:after="0" w:line="240" w:lineRule="auto"/>
        <w:contextualSpacing/>
        <w:jc w:val="both"/>
        <w:rPr>
          <w:rFonts w:cstheme="minorHAnsi"/>
        </w:rPr>
      </w:pPr>
      <w:r w:rsidRPr="00042190">
        <w:rPr>
          <w:rFonts w:cstheme="minorHAnsi"/>
        </w:rPr>
        <w:t>REK arutas saabunud küsimust oma 16.01.2023 koosolekul, muuhulgas vaatas üle oma 26.05.20 otsuse, mille kohaselt:</w:t>
      </w:r>
    </w:p>
    <w:p w14:paraId="68534990" w14:textId="6DD1B80D" w:rsidR="00B22A8C" w:rsidRPr="00042190" w:rsidRDefault="00B22A8C" w:rsidP="00B22A8C">
      <w:pPr>
        <w:spacing w:after="0" w:line="240" w:lineRule="auto"/>
        <w:contextualSpacing/>
        <w:jc w:val="both"/>
        <w:rPr>
          <w:rFonts w:cstheme="minorHAnsi"/>
        </w:rPr>
      </w:pPr>
    </w:p>
    <w:p w14:paraId="218EA9E2" w14:textId="771BF8EC" w:rsidR="00B22A8C" w:rsidRPr="00042190" w:rsidRDefault="00B22A8C" w:rsidP="00B22A8C">
      <w:pPr>
        <w:pStyle w:val="Loendilik"/>
        <w:numPr>
          <w:ilvl w:val="0"/>
          <w:numId w:val="10"/>
        </w:numPr>
        <w:spacing w:after="0" w:line="240" w:lineRule="auto"/>
        <w:ind w:left="426" w:hanging="426"/>
        <w:jc w:val="both"/>
        <w:rPr>
          <w:rFonts w:cstheme="minorHAnsi"/>
        </w:rPr>
      </w:pPr>
      <w:r w:rsidRPr="00042190">
        <w:rPr>
          <w:rFonts w:cstheme="minorHAnsi"/>
        </w:rPr>
        <w:t>REK ei soovita kinkekaartidega turu-uuringus osalemise tasustamist, kuna vastavalt eetikakoodeksi artiklile 15.04 on uuringus osalemine lubatud minimaalse tasu eest, kuid kinkekaardi puhul on tegemist kingitusega, mis vastavalt eetikakoodeksi artiklile 11 ei ole lubatud. Samuti tekitab topelt-pime uuring olukorra, kus uuringus osalejale ei ole teada, kes tasub uuringus osalemise eest ning seega ei ole tagatud läbipaistvus, kuna kinkekaardi kulud katab ju tegelikult ravimifirma.</w:t>
      </w:r>
    </w:p>
    <w:p w14:paraId="598DF304" w14:textId="77777777" w:rsidR="00B22A8C" w:rsidRPr="00042190" w:rsidRDefault="00B22A8C" w:rsidP="00B22A8C">
      <w:pPr>
        <w:spacing w:after="0" w:line="240" w:lineRule="auto"/>
        <w:contextualSpacing/>
        <w:jc w:val="both"/>
        <w:rPr>
          <w:rFonts w:cstheme="minorHAnsi"/>
        </w:rPr>
      </w:pPr>
    </w:p>
    <w:p w14:paraId="27517D8E" w14:textId="77777777" w:rsidR="00A026BF" w:rsidRPr="00042190" w:rsidRDefault="00A026BF" w:rsidP="00B22A8C">
      <w:pPr>
        <w:spacing w:after="0" w:line="240" w:lineRule="auto"/>
        <w:contextualSpacing/>
        <w:jc w:val="both"/>
        <w:rPr>
          <w:rFonts w:cstheme="minorHAnsi"/>
          <w:u w:val="single"/>
        </w:rPr>
      </w:pPr>
      <w:r w:rsidRPr="00042190">
        <w:rPr>
          <w:rFonts w:cstheme="minorHAnsi"/>
          <w:u w:val="single"/>
        </w:rPr>
        <w:t xml:space="preserve">RTL-i Eetikakoodeks punkt 15.04 </w:t>
      </w:r>
      <w:r w:rsidRPr="00042190">
        <w:rPr>
          <w:rFonts w:cstheme="minorHAnsi"/>
          <w:u w:val="single"/>
        </w:rPr>
        <w:t>ütleb:</w:t>
      </w:r>
    </w:p>
    <w:p w14:paraId="17C3D3BD" w14:textId="71B77D5E" w:rsidR="00A026BF" w:rsidRPr="00042190" w:rsidRDefault="00A026BF" w:rsidP="00B22A8C">
      <w:pPr>
        <w:spacing w:after="0" w:line="240" w:lineRule="auto"/>
        <w:contextualSpacing/>
        <w:jc w:val="both"/>
        <w:rPr>
          <w:rFonts w:cstheme="minorHAnsi"/>
        </w:rPr>
      </w:pPr>
      <w:r w:rsidRPr="00042190">
        <w:rPr>
          <w:rFonts w:cstheme="minorHAnsi"/>
        </w:rPr>
        <w:t xml:space="preserve">Piiratud turu-uuring, nagu ühekordsed telefoniküsitlused või posti/e-posti/interneti-küsimustikud, on käesoleva artikli reguleerimisalast välja jäetud tingimusel, et tervishoiutöötajaga, tervishoiuorganisatsiooni liikme või patsiendiorganisatsiooni esindajaga ei konsulteerita korduvalt (arvestades kõnede sagedust üldiselt või sama uuringuga seotud kõnesid) ning et tasu on minimaalne. RTL annab juhised sõna “minimaalne” tähenduse mõistmiseks koodeksi kontekstis. Minimaalne on tasu, mis on vastavuses kulutatud aja ja arsti miinimumtunnitasuga. </w:t>
      </w:r>
    </w:p>
    <w:p w14:paraId="7CA3FE43" w14:textId="7422E372" w:rsidR="00A026BF" w:rsidRPr="00042190" w:rsidRDefault="00A026BF" w:rsidP="00B22A8C">
      <w:pPr>
        <w:spacing w:after="0" w:line="240" w:lineRule="auto"/>
        <w:contextualSpacing/>
        <w:jc w:val="both"/>
        <w:rPr>
          <w:rFonts w:cstheme="minorHAnsi"/>
        </w:rPr>
      </w:pPr>
      <w:r w:rsidRPr="00042190">
        <w:rPr>
          <w:rFonts w:cstheme="minorHAnsi"/>
        </w:rPr>
        <w:t xml:space="preserve"> </w:t>
      </w:r>
    </w:p>
    <w:p w14:paraId="155FCD22" w14:textId="33217148" w:rsidR="00B22A8C" w:rsidRPr="00042190" w:rsidRDefault="007B3615" w:rsidP="00B22A8C">
      <w:pPr>
        <w:spacing w:after="0" w:line="240" w:lineRule="auto"/>
        <w:contextualSpacing/>
        <w:jc w:val="both"/>
        <w:rPr>
          <w:rFonts w:cstheme="minorHAnsi"/>
        </w:rPr>
      </w:pPr>
      <w:r w:rsidRPr="00042190">
        <w:rPr>
          <w:rFonts w:cstheme="minorHAnsi"/>
        </w:rPr>
        <w:t>REK</w:t>
      </w:r>
      <w:r w:rsidR="004E43CA" w:rsidRPr="00042190">
        <w:rPr>
          <w:rFonts w:cstheme="minorHAnsi"/>
        </w:rPr>
        <w:t xml:space="preserve"> leidis arutelu käigus, et kinkekaardi kui sellise kasutamine turu-uuringus osalemise eest ei lähe kokku heade tavadega, tegemist on kingitusega (KINKEkaart) ning kingituse tegemine on eetikakoodeksi </w:t>
      </w:r>
      <w:r w:rsidR="004E43CA" w:rsidRPr="00042190">
        <w:rPr>
          <w:rFonts w:cstheme="minorHAnsi"/>
        </w:rPr>
        <w:lastRenderedPageBreak/>
        <w:t xml:space="preserve">kohaselt keelatud. </w:t>
      </w:r>
      <w:r w:rsidR="00074C48" w:rsidRPr="00042190">
        <w:rPr>
          <w:rFonts w:cstheme="minorHAnsi"/>
        </w:rPr>
        <w:t>Kuna</w:t>
      </w:r>
      <w:r w:rsidR="004E43CA" w:rsidRPr="00042190">
        <w:rPr>
          <w:rFonts w:cstheme="minorHAnsi"/>
        </w:rPr>
        <w:t xml:space="preserve"> </w:t>
      </w:r>
      <w:r w:rsidR="00074C48" w:rsidRPr="00042190">
        <w:rPr>
          <w:rFonts w:cstheme="minorHAnsi"/>
        </w:rPr>
        <w:t xml:space="preserve">antud juhtumi puhul on </w:t>
      </w:r>
      <w:r w:rsidR="004E43CA" w:rsidRPr="00042190">
        <w:rPr>
          <w:rFonts w:cstheme="minorHAnsi"/>
        </w:rPr>
        <w:t>tegemist konkreetselt ka firma brändi turu-uuringuga</w:t>
      </w:r>
      <w:r w:rsidR="00074C48" w:rsidRPr="00042190">
        <w:rPr>
          <w:rFonts w:cstheme="minorHAnsi"/>
        </w:rPr>
        <w:t>, siis ei ole kinkekaardiga tasustamine sobilik.</w:t>
      </w:r>
    </w:p>
    <w:p w14:paraId="3A5E53D7" w14:textId="77777777" w:rsidR="00A026BF" w:rsidRPr="00042190" w:rsidRDefault="00A026BF" w:rsidP="00B22A8C">
      <w:pPr>
        <w:spacing w:after="0" w:line="240" w:lineRule="auto"/>
        <w:contextualSpacing/>
        <w:jc w:val="both"/>
        <w:rPr>
          <w:rFonts w:cstheme="minorHAnsi"/>
        </w:rPr>
      </w:pPr>
    </w:p>
    <w:p w14:paraId="4EA72FDE" w14:textId="718EC034" w:rsidR="00A026BF" w:rsidRPr="00042190" w:rsidRDefault="00A026BF" w:rsidP="00B22A8C">
      <w:pPr>
        <w:spacing w:after="0" w:line="240" w:lineRule="auto"/>
        <w:contextualSpacing/>
        <w:jc w:val="both"/>
        <w:rPr>
          <w:rFonts w:cstheme="minorHAnsi"/>
          <w:b/>
          <w:bCs/>
          <w:u w:val="single"/>
        </w:rPr>
      </w:pPr>
      <w:r w:rsidRPr="00042190">
        <w:rPr>
          <w:rFonts w:cstheme="minorHAnsi"/>
          <w:b/>
          <w:bCs/>
          <w:u w:val="single"/>
        </w:rPr>
        <w:t>OTSUS</w:t>
      </w:r>
      <w:r w:rsidRPr="00042190">
        <w:rPr>
          <w:rFonts w:cstheme="minorHAnsi"/>
          <w:b/>
          <w:bCs/>
          <w:u w:val="single"/>
        </w:rPr>
        <w:t>:</w:t>
      </w:r>
    </w:p>
    <w:p w14:paraId="4FC3308D" w14:textId="7648C650" w:rsidR="00A026BF" w:rsidRPr="00042190" w:rsidRDefault="00A026BF" w:rsidP="00B22A8C">
      <w:pPr>
        <w:pStyle w:val="Loendilik"/>
        <w:numPr>
          <w:ilvl w:val="0"/>
          <w:numId w:val="6"/>
        </w:numPr>
        <w:spacing w:after="0" w:line="240" w:lineRule="auto"/>
        <w:jc w:val="both"/>
        <w:rPr>
          <w:rFonts w:cstheme="minorHAnsi"/>
        </w:rPr>
      </w:pPr>
      <w:r w:rsidRPr="00042190">
        <w:rPr>
          <w:rFonts w:cstheme="minorHAnsi"/>
        </w:rPr>
        <w:t xml:space="preserve">REK toetab oma otsusega varasemalt, so 26.05.2020 koosolekul vastu võetud </w:t>
      </w:r>
      <w:r w:rsidR="00074C48" w:rsidRPr="00042190">
        <w:rPr>
          <w:rFonts w:cstheme="minorHAnsi"/>
        </w:rPr>
        <w:t xml:space="preserve">otsust </w:t>
      </w:r>
      <w:r w:rsidR="00074C48" w:rsidRPr="00042190">
        <w:rPr>
          <w:rFonts w:cstheme="minorHAnsi"/>
        </w:rPr>
        <w:t>turu-uuringus osalemise tasustamise kohta kinkekaartidega</w:t>
      </w:r>
      <w:r w:rsidRPr="00042190">
        <w:rPr>
          <w:rFonts w:cstheme="minorHAnsi"/>
        </w:rPr>
        <w:t xml:space="preserve">. Kinkekaardi kasutamine ei lähe kokku heade tavadega, </w:t>
      </w:r>
      <w:r w:rsidR="00074C48" w:rsidRPr="00042190">
        <w:rPr>
          <w:rFonts w:cstheme="minorHAnsi"/>
        </w:rPr>
        <w:t xml:space="preserve">Ravimitootjate Liidu </w:t>
      </w:r>
      <w:r w:rsidRPr="00042190">
        <w:rPr>
          <w:rFonts w:cstheme="minorHAnsi"/>
        </w:rPr>
        <w:t xml:space="preserve">eetikakoodeksi kontekstis on kingitused keelatud. Küsimuseks on, kas on korrektne anda firma brändi turu-uuringu läbiviimiseks kinkekaarti. </w:t>
      </w:r>
      <w:r w:rsidR="00074C48" w:rsidRPr="00042190">
        <w:rPr>
          <w:rFonts w:cstheme="minorHAnsi"/>
        </w:rPr>
        <w:t>Vastavalt eetikakoodeksile võib m</w:t>
      </w:r>
      <w:r w:rsidRPr="00042190">
        <w:rPr>
          <w:rFonts w:cstheme="minorHAnsi"/>
        </w:rPr>
        <w:t xml:space="preserve">inimaalset tasu </w:t>
      </w:r>
      <w:r w:rsidR="00074C48" w:rsidRPr="00042190">
        <w:rPr>
          <w:rFonts w:cstheme="minorHAnsi"/>
        </w:rPr>
        <w:t xml:space="preserve">turu-uuringus osalemise eest </w:t>
      </w:r>
      <w:r w:rsidRPr="00042190">
        <w:rPr>
          <w:rFonts w:cstheme="minorHAnsi"/>
        </w:rPr>
        <w:t>maksta</w:t>
      </w:r>
      <w:r w:rsidR="00074C48" w:rsidRPr="00042190">
        <w:rPr>
          <w:rFonts w:cstheme="minorHAnsi"/>
        </w:rPr>
        <w:t xml:space="preserve">, seda </w:t>
      </w:r>
      <w:r w:rsidRPr="00042190">
        <w:rPr>
          <w:rFonts w:cstheme="minorHAnsi"/>
        </w:rPr>
        <w:t>vastavalt miinimumtasu kokkulepetele ja kooskõlas E</w:t>
      </w:r>
      <w:r w:rsidR="00074C48" w:rsidRPr="00042190">
        <w:rPr>
          <w:rFonts w:cstheme="minorHAnsi"/>
        </w:rPr>
        <w:t>esti Vabariigi</w:t>
      </w:r>
      <w:r w:rsidRPr="00042190">
        <w:rPr>
          <w:rFonts w:cstheme="minorHAnsi"/>
        </w:rPr>
        <w:t xml:space="preserve"> seadustega. </w:t>
      </w:r>
    </w:p>
    <w:p w14:paraId="0E2A7C13" w14:textId="77777777" w:rsidR="00A026BF" w:rsidRPr="00042190" w:rsidRDefault="00A026BF" w:rsidP="00B22A8C">
      <w:pPr>
        <w:spacing w:after="0" w:line="240" w:lineRule="auto"/>
        <w:contextualSpacing/>
        <w:jc w:val="both"/>
        <w:rPr>
          <w:rFonts w:cstheme="minorHAnsi"/>
        </w:rPr>
      </w:pPr>
    </w:p>
    <w:p w14:paraId="0EE69921" w14:textId="77777777" w:rsidR="00A026BF" w:rsidRPr="00042190" w:rsidRDefault="00A026BF" w:rsidP="00B22A8C">
      <w:pPr>
        <w:spacing w:after="0" w:line="240" w:lineRule="auto"/>
        <w:contextualSpacing/>
        <w:jc w:val="both"/>
        <w:rPr>
          <w:rFonts w:cstheme="minorHAnsi"/>
        </w:rPr>
      </w:pPr>
      <w:r w:rsidRPr="00042190">
        <w:rPr>
          <w:rFonts w:cstheme="minorHAnsi"/>
        </w:rPr>
        <w:t xml:space="preserve"> </w:t>
      </w:r>
    </w:p>
    <w:p w14:paraId="51F8C71C" w14:textId="251ADC63" w:rsidR="00100F3B" w:rsidRPr="00042190" w:rsidRDefault="00A026BF" w:rsidP="00B22A8C">
      <w:pPr>
        <w:spacing w:after="0" w:line="240" w:lineRule="auto"/>
        <w:contextualSpacing/>
        <w:jc w:val="both"/>
        <w:rPr>
          <w:rFonts w:cstheme="minorHAnsi"/>
          <w:b/>
          <w:bCs/>
        </w:rPr>
      </w:pPr>
      <w:r w:rsidRPr="00042190">
        <w:rPr>
          <w:rFonts w:cstheme="minorHAnsi"/>
          <w:b/>
          <w:bCs/>
        </w:rPr>
        <w:t>2.</w:t>
      </w:r>
      <w:r w:rsidRPr="00042190">
        <w:rPr>
          <w:rFonts w:cstheme="minorHAnsi"/>
          <w:b/>
          <w:bCs/>
        </w:rPr>
        <w:tab/>
      </w:r>
      <w:r w:rsidR="00100F3B" w:rsidRPr="00042190">
        <w:rPr>
          <w:rFonts w:cstheme="minorHAnsi"/>
          <w:b/>
          <w:bCs/>
        </w:rPr>
        <w:t>K</w:t>
      </w:r>
      <w:r w:rsidR="00100F3B" w:rsidRPr="00042190">
        <w:rPr>
          <w:rFonts w:cstheme="minorHAnsi"/>
          <w:b/>
          <w:bCs/>
        </w:rPr>
        <w:t>üsimus k</w:t>
      </w:r>
      <w:r w:rsidR="00100F3B" w:rsidRPr="00042190">
        <w:rPr>
          <w:rFonts w:cstheme="minorHAnsi"/>
          <w:b/>
          <w:bCs/>
        </w:rPr>
        <w:t>ingitus</w:t>
      </w:r>
      <w:r w:rsidR="00100F3B" w:rsidRPr="00042190">
        <w:rPr>
          <w:rFonts w:cstheme="minorHAnsi"/>
          <w:b/>
          <w:bCs/>
        </w:rPr>
        <w:t>te kohta</w:t>
      </w:r>
      <w:r w:rsidR="00100F3B" w:rsidRPr="00042190">
        <w:rPr>
          <w:rFonts w:cstheme="minorHAnsi"/>
          <w:b/>
          <w:bCs/>
        </w:rPr>
        <w:t xml:space="preserve"> tervishoiu- ja patsiendiorganisatsioonidele</w:t>
      </w:r>
    </w:p>
    <w:p w14:paraId="776889B7" w14:textId="7CB79354" w:rsidR="00100F3B" w:rsidRPr="00042190" w:rsidRDefault="00100F3B" w:rsidP="00B22A8C">
      <w:pPr>
        <w:spacing w:after="0" w:line="240" w:lineRule="auto"/>
        <w:contextualSpacing/>
        <w:jc w:val="both"/>
        <w:rPr>
          <w:rFonts w:cstheme="minorHAnsi"/>
          <w:b/>
          <w:bCs/>
        </w:rPr>
      </w:pPr>
    </w:p>
    <w:p w14:paraId="299BF926" w14:textId="0D58FDA8" w:rsidR="00DC3B90" w:rsidRPr="00042190" w:rsidRDefault="00DC3B90" w:rsidP="00B22A8C">
      <w:pPr>
        <w:spacing w:after="0" w:line="240" w:lineRule="auto"/>
        <w:contextualSpacing/>
        <w:jc w:val="both"/>
        <w:rPr>
          <w:rFonts w:cstheme="minorHAnsi"/>
          <w:b/>
          <w:bCs/>
          <w:u w:val="single"/>
        </w:rPr>
      </w:pPr>
      <w:r w:rsidRPr="00042190">
        <w:rPr>
          <w:rFonts w:cstheme="minorHAnsi"/>
          <w:b/>
          <w:bCs/>
          <w:u w:val="single"/>
        </w:rPr>
        <w:t>TAUSTINFO</w:t>
      </w:r>
    </w:p>
    <w:p w14:paraId="07153A0D" w14:textId="37B13746" w:rsidR="00DC3B90" w:rsidRPr="00042190" w:rsidRDefault="00DC3B90" w:rsidP="00B22A8C">
      <w:pPr>
        <w:spacing w:after="0" w:line="240" w:lineRule="auto"/>
        <w:contextualSpacing/>
        <w:jc w:val="both"/>
        <w:rPr>
          <w:rFonts w:cstheme="minorHAnsi"/>
        </w:rPr>
      </w:pPr>
      <w:r w:rsidRPr="00042190">
        <w:rPr>
          <w:rFonts w:cstheme="minorHAnsi"/>
        </w:rPr>
        <w:t xml:space="preserve">Ravimitootjate Liidu eetikakomiteele (REK) esitati 12.12.2022 </w:t>
      </w:r>
      <w:r w:rsidRPr="00042190">
        <w:rPr>
          <w:rFonts w:cstheme="minorHAnsi"/>
        </w:rPr>
        <w:t xml:space="preserve">alljärgnev </w:t>
      </w:r>
      <w:r w:rsidRPr="00042190">
        <w:rPr>
          <w:rFonts w:cstheme="minorHAnsi"/>
        </w:rPr>
        <w:t>küsimus</w:t>
      </w:r>
      <w:r w:rsidRPr="00042190">
        <w:rPr>
          <w:rFonts w:cstheme="minorHAnsi"/>
        </w:rPr>
        <w:t>:</w:t>
      </w:r>
    </w:p>
    <w:p w14:paraId="24A24515" w14:textId="77777777" w:rsidR="00DC3B90" w:rsidRPr="00042190" w:rsidRDefault="00DC3B90" w:rsidP="00B22A8C">
      <w:pPr>
        <w:spacing w:after="0" w:line="240" w:lineRule="auto"/>
        <w:contextualSpacing/>
        <w:jc w:val="both"/>
        <w:rPr>
          <w:rFonts w:cstheme="minorHAnsi"/>
        </w:rPr>
      </w:pPr>
    </w:p>
    <w:p w14:paraId="1B21442E" w14:textId="22920170" w:rsidR="00A0642E" w:rsidRPr="00042190" w:rsidRDefault="00A026BF" w:rsidP="00A0642E">
      <w:pPr>
        <w:pStyle w:val="Loendilik"/>
        <w:numPr>
          <w:ilvl w:val="0"/>
          <w:numId w:val="11"/>
        </w:numPr>
        <w:spacing w:after="0" w:line="240" w:lineRule="auto"/>
        <w:ind w:left="426" w:hanging="426"/>
        <w:jc w:val="both"/>
        <w:rPr>
          <w:rFonts w:cstheme="minorHAnsi"/>
        </w:rPr>
      </w:pPr>
      <w:r w:rsidRPr="00042190">
        <w:rPr>
          <w:rFonts w:cstheme="minorHAnsi"/>
        </w:rPr>
        <w:t>Kas tervishoiu-</w:t>
      </w:r>
      <w:r w:rsidR="00A0642E" w:rsidRPr="00042190">
        <w:rPr>
          <w:rFonts w:cstheme="minorHAnsi"/>
        </w:rPr>
        <w:t xml:space="preserve"> </w:t>
      </w:r>
      <w:r w:rsidRPr="00042190">
        <w:rPr>
          <w:rFonts w:cstheme="minorHAnsi"/>
        </w:rPr>
        <w:t xml:space="preserve">ja </w:t>
      </w:r>
      <w:r w:rsidR="00DC3B90" w:rsidRPr="00042190">
        <w:rPr>
          <w:rFonts w:cstheme="minorHAnsi"/>
        </w:rPr>
        <w:t>patsiendiorgansiatsioonidele</w:t>
      </w:r>
      <w:r w:rsidRPr="00042190">
        <w:rPr>
          <w:rFonts w:cstheme="minorHAnsi"/>
        </w:rPr>
        <w:t xml:space="preserve"> on lubatud teha kingitusi aastapäevade puhul, jõuludeks vms juhul (puuviljakorv, lilled)?</w:t>
      </w:r>
    </w:p>
    <w:p w14:paraId="564DEBBF" w14:textId="77777777" w:rsidR="00A0642E" w:rsidRPr="00042190" w:rsidRDefault="00A0642E" w:rsidP="00A0642E">
      <w:pPr>
        <w:spacing w:after="0" w:line="240" w:lineRule="auto"/>
        <w:jc w:val="both"/>
        <w:rPr>
          <w:rFonts w:cstheme="minorHAnsi"/>
        </w:rPr>
      </w:pPr>
    </w:p>
    <w:p w14:paraId="423B4CFA" w14:textId="25C10D5F" w:rsidR="00A0642E" w:rsidRPr="00042190" w:rsidRDefault="00A0642E" w:rsidP="00A0642E">
      <w:pPr>
        <w:spacing w:after="0" w:line="240" w:lineRule="auto"/>
        <w:jc w:val="both"/>
        <w:rPr>
          <w:rFonts w:cstheme="minorHAnsi"/>
        </w:rPr>
      </w:pPr>
      <w:r w:rsidRPr="00042190">
        <w:rPr>
          <w:rFonts w:cstheme="minorHAnsi"/>
        </w:rPr>
        <w:t>Küsimus seondub olukorraga, kus kingitust ei tehta konkreetsele füüsilisele isikule, vaid organisatsioonile (näiteks haigla) või selle struktuuriüksusele (osakonnale). Osad MHL ka seda praktikat harrastavad ja hea oleks teada ühtseid reegleid.</w:t>
      </w:r>
    </w:p>
    <w:p w14:paraId="7A2ABBB7" w14:textId="54706340" w:rsidR="00042190" w:rsidRPr="00042190" w:rsidRDefault="00042190" w:rsidP="00A0642E">
      <w:pPr>
        <w:spacing w:after="0" w:line="240" w:lineRule="auto"/>
        <w:jc w:val="both"/>
        <w:rPr>
          <w:rFonts w:cstheme="minorHAnsi"/>
        </w:rPr>
      </w:pPr>
    </w:p>
    <w:p w14:paraId="769C6D2E" w14:textId="7ADF7272" w:rsidR="00042190" w:rsidRPr="00042190" w:rsidRDefault="00042190" w:rsidP="00A0642E">
      <w:pPr>
        <w:spacing w:after="0" w:line="240" w:lineRule="auto"/>
        <w:jc w:val="both"/>
        <w:rPr>
          <w:rFonts w:cstheme="minorHAnsi"/>
        </w:rPr>
      </w:pPr>
      <w:r w:rsidRPr="00042190">
        <w:rPr>
          <w:rFonts w:cstheme="minorHAnsi"/>
        </w:rPr>
        <w:t xml:space="preserve">Ravimiseaduse § 86 lg 1 keelab kingituste tegemise füüsilistele isikutele - ravimi väljakirjutamise õigust omavatele isikutele, proviisoritele ja farmatseutidele. RTL eetikakoodeksi punkt 11.01 keelab kingituste tegemise tervishoiutöötajatele, tervishoiuorganisatsioonide liikmetele ja patsiendiorganisatsioonide esindajatele. </w:t>
      </w:r>
    </w:p>
    <w:p w14:paraId="68CFC28A" w14:textId="2BE84288" w:rsidR="00A0642E" w:rsidRPr="00042190" w:rsidRDefault="00A026BF" w:rsidP="00B22A8C">
      <w:pPr>
        <w:spacing w:after="0" w:line="240" w:lineRule="auto"/>
        <w:contextualSpacing/>
        <w:jc w:val="both"/>
        <w:rPr>
          <w:rFonts w:cstheme="minorHAnsi"/>
        </w:rPr>
      </w:pPr>
      <w:r w:rsidRPr="00042190">
        <w:rPr>
          <w:rFonts w:cstheme="minorHAnsi"/>
        </w:rPr>
        <w:t xml:space="preserve"> </w:t>
      </w:r>
    </w:p>
    <w:p w14:paraId="31628B96" w14:textId="142DD404" w:rsidR="00042190" w:rsidRPr="00042190" w:rsidRDefault="00A0642E" w:rsidP="00B22A8C">
      <w:pPr>
        <w:spacing w:after="0" w:line="240" w:lineRule="auto"/>
        <w:contextualSpacing/>
        <w:jc w:val="both"/>
        <w:rPr>
          <w:rFonts w:cstheme="minorHAnsi"/>
          <w:b/>
          <w:bCs/>
          <w:u w:val="single"/>
        </w:rPr>
      </w:pPr>
      <w:r w:rsidRPr="00042190">
        <w:rPr>
          <w:rFonts w:cstheme="minorHAnsi"/>
          <w:b/>
          <w:bCs/>
          <w:u w:val="single"/>
        </w:rPr>
        <w:t>ARUTELU</w:t>
      </w:r>
    </w:p>
    <w:p w14:paraId="5FE1A115" w14:textId="204F2FA0" w:rsidR="00592965" w:rsidRPr="00042190" w:rsidRDefault="00042190" w:rsidP="00B22A8C">
      <w:pPr>
        <w:spacing w:after="0" w:line="240" w:lineRule="auto"/>
        <w:contextualSpacing/>
        <w:jc w:val="both"/>
        <w:rPr>
          <w:rFonts w:cstheme="minorHAnsi"/>
        </w:rPr>
      </w:pPr>
      <w:r w:rsidRPr="00042190">
        <w:rPr>
          <w:rFonts w:cstheme="minorHAnsi"/>
        </w:rPr>
        <w:t>REK arutas saabunud küsimust oma 16.01.2023 koosolekul</w:t>
      </w:r>
      <w:r w:rsidRPr="00042190">
        <w:rPr>
          <w:rFonts w:cstheme="minorHAnsi"/>
        </w:rPr>
        <w:t xml:space="preserve"> ning </w:t>
      </w:r>
      <w:r>
        <w:rPr>
          <w:rFonts w:cstheme="minorHAnsi"/>
        </w:rPr>
        <w:t xml:space="preserve">leidis, et esiteks on tegemist adressaadi küsimusega. Oluline on eristada, kas üleantav ese on mõeldud isikule või organisatsioonile. </w:t>
      </w:r>
      <w:r w:rsidR="006D3538">
        <w:rPr>
          <w:rFonts w:cstheme="minorHAnsi"/>
        </w:rPr>
        <w:t xml:space="preserve">Teiseks on küsimus üleantava eseme väärtuses. Kingituse tegemine ravimiseaduse ja eetikakoodeksi kohaselt on keelatud, samas praktiline elukorraldus näitab seda, et ravimitootjad on tihti kutsutud nt tervishoiuorganisatsioonide aastapäevadele, avamistele jne, kuhu kutsutakse erinevaid partnereid. Kui organisatsioonile üleantav ese antakse organisatsioonile, siis võiks selle väärtus olla </w:t>
      </w:r>
      <w:r w:rsidR="006D3538" w:rsidRPr="006D3538">
        <w:rPr>
          <w:rFonts w:cstheme="minorHAnsi"/>
        </w:rPr>
        <w:t>sümboolne, väheväärtuslik ja tähelepanuavalduseks (nt lilled, kommikarp)</w:t>
      </w:r>
      <w:r w:rsidR="006D3538">
        <w:rPr>
          <w:rFonts w:cstheme="minorHAnsi"/>
        </w:rPr>
        <w:t>.</w:t>
      </w:r>
    </w:p>
    <w:p w14:paraId="2BDA728F" w14:textId="77777777" w:rsidR="00042190" w:rsidRPr="00042190" w:rsidRDefault="00042190" w:rsidP="00B22A8C">
      <w:pPr>
        <w:spacing w:after="0" w:line="240" w:lineRule="auto"/>
        <w:contextualSpacing/>
        <w:jc w:val="both"/>
        <w:rPr>
          <w:rFonts w:cstheme="minorHAnsi"/>
        </w:rPr>
      </w:pPr>
    </w:p>
    <w:p w14:paraId="347557AF" w14:textId="086AB3FC" w:rsidR="00A026BF" w:rsidRPr="00042190" w:rsidRDefault="00A026BF" w:rsidP="00B22A8C">
      <w:pPr>
        <w:spacing w:after="0" w:line="240" w:lineRule="auto"/>
        <w:contextualSpacing/>
        <w:jc w:val="both"/>
        <w:rPr>
          <w:rFonts w:cstheme="minorHAnsi"/>
          <w:b/>
          <w:bCs/>
          <w:u w:val="single"/>
        </w:rPr>
      </w:pPr>
      <w:r w:rsidRPr="00042190">
        <w:rPr>
          <w:rFonts w:cstheme="minorHAnsi"/>
          <w:b/>
          <w:bCs/>
          <w:u w:val="single"/>
        </w:rPr>
        <w:t>OTSUS</w:t>
      </w:r>
    </w:p>
    <w:p w14:paraId="1B54A102" w14:textId="6F374DD1" w:rsidR="00A37468" w:rsidRPr="00042190" w:rsidRDefault="00A026BF" w:rsidP="00042190">
      <w:pPr>
        <w:pStyle w:val="Loendilik"/>
        <w:numPr>
          <w:ilvl w:val="0"/>
          <w:numId w:val="13"/>
        </w:numPr>
        <w:spacing w:after="0" w:line="240" w:lineRule="auto"/>
        <w:ind w:left="426" w:hanging="426"/>
        <w:jc w:val="both"/>
        <w:rPr>
          <w:rFonts w:cstheme="minorHAnsi"/>
        </w:rPr>
      </w:pPr>
      <w:r w:rsidRPr="00042190">
        <w:rPr>
          <w:rFonts w:cstheme="minorHAnsi"/>
        </w:rPr>
        <w:t xml:space="preserve">REK-i hinnangul on tegemist adressaadi küsimusega, tuleks eristada isikut ja organisatsiooni. Kui organisatsioonile üleantav ese on sümboolne, väheväärtuslik ja tähelepanuavalduseks (nt lilled, kommikarp), siis on see lubatud. </w:t>
      </w:r>
    </w:p>
    <w:sectPr w:rsidR="00A37468" w:rsidRPr="00042190" w:rsidSect="0060397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E5DA8" w14:textId="77777777" w:rsidR="007C6E8B" w:rsidRDefault="007C6E8B" w:rsidP="00B22A8C">
      <w:pPr>
        <w:spacing w:after="0" w:line="240" w:lineRule="auto"/>
      </w:pPr>
      <w:r>
        <w:separator/>
      </w:r>
    </w:p>
  </w:endnote>
  <w:endnote w:type="continuationSeparator" w:id="0">
    <w:p w14:paraId="18682B2D" w14:textId="77777777" w:rsidR="007C6E8B" w:rsidRDefault="007C6E8B" w:rsidP="00B2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048162"/>
      <w:docPartObj>
        <w:docPartGallery w:val="Page Numbers (Bottom of Page)"/>
        <w:docPartUnique/>
      </w:docPartObj>
    </w:sdtPr>
    <w:sdtContent>
      <w:p w14:paraId="6000CEED" w14:textId="6F45B729" w:rsidR="00B22A8C" w:rsidRDefault="00B22A8C">
        <w:pPr>
          <w:pStyle w:val="Jalus"/>
          <w:jc w:val="right"/>
        </w:pPr>
        <w:r>
          <w:fldChar w:fldCharType="begin"/>
        </w:r>
        <w:r>
          <w:instrText>PAGE   \* MERGEFORMAT</w:instrText>
        </w:r>
        <w:r>
          <w:fldChar w:fldCharType="separate"/>
        </w:r>
        <w:r>
          <w:t>2</w:t>
        </w:r>
        <w:r>
          <w:fldChar w:fldCharType="end"/>
        </w:r>
      </w:p>
    </w:sdtContent>
  </w:sdt>
  <w:p w14:paraId="612C1F8E" w14:textId="77777777" w:rsidR="00B22A8C" w:rsidRDefault="00B22A8C">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1678" w14:textId="77777777" w:rsidR="007C6E8B" w:rsidRDefault="007C6E8B" w:rsidP="00B22A8C">
      <w:pPr>
        <w:spacing w:after="0" w:line="240" w:lineRule="auto"/>
      </w:pPr>
      <w:r>
        <w:separator/>
      </w:r>
    </w:p>
  </w:footnote>
  <w:footnote w:type="continuationSeparator" w:id="0">
    <w:p w14:paraId="5A7969BD" w14:textId="77777777" w:rsidR="007C6E8B" w:rsidRDefault="007C6E8B" w:rsidP="00B22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E2A0A"/>
    <w:multiLevelType w:val="hybridMultilevel"/>
    <w:tmpl w:val="E9D072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43F3AAA"/>
    <w:multiLevelType w:val="hybridMultilevel"/>
    <w:tmpl w:val="80581CA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9F13409"/>
    <w:multiLevelType w:val="hybridMultilevel"/>
    <w:tmpl w:val="B640412A"/>
    <w:lvl w:ilvl="0" w:tplc="FFFFFFFF">
      <w:start w:val="1"/>
      <w:numFmt w:val="decimal"/>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2BD70424"/>
    <w:multiLevelType w:val="hybridMultilevel"/>
    <w:tmpl w:val="842278E0"/>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FF50A02"/>
    <w:multiLevelType w:val="hybridMultilevel"/>
    <w:tmpl w:val="2102C472"/>
    <w:lvl w:ilvl="0" w:tplc="FFFFFFF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437A5A90"/>
    <w:multiLevelType w:val="hybridMultilevel"/>
    <w:tmpl w:val="57444042"/>
    <w:lvl w:ilvl="0" w:tplc="FFFFFFFF">
      <w:start w:val="1"/>
      <w:numFmt w:val="decimal"/>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666096D"/>
    <w:multiLevelType w:val="hybridMultilevel"/>
    <w:tmpl w:val="E9D0722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54E349D2"/>
    <w:multiLevelType w:val="hybridMultilevel"/>
    <w:tmpl w:val="842278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5C21495"/>
    <w:multiLevelType w:val="hybridMultilevel"/>
    <w:tmpl w:val="57444042"/>
    <w:lvl w:ilvl="0" w:tplc="FFFFFFFF">
      <w:start w:val="1"/>
      <w:numFmt w:val="decimal"/>
      <w:lvlText w:val="%1."/>
      <w:lvlJc w:val="left"/>
      <w:pPr>
        <w:ind w:left="708" w:hanging="708"/>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6CDA374F"/>
    <w:multiLevelType w:val="hybridMultilevel"/>
    <w:tmpl w:val="CB6C8D74"/>
    <w:lvl w:ilvl="0" w:tplc="5D342B12">
      <w:start w:val="1"/>
      <w:numFmt w:val="decimal"/>
      <w:lvlText w:val="%1."/>
      <w:lvlJc w:val="left"/>
      <w:pPr>
        <w:ind w:left="708" w:hanging="708"/>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6DFA6CF5"/>
    <w:multiLevelType w:val="hybridMultilevel"/>
    <w:tmpl w:val="6818F7D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6EF579BF"/>
    <w:multiLevelType w:val="hybridMultilevel"/>
    <w:tmpl w:val="A93043D4"/>
    <w:lvl w:ilvl="0" w:tplc="5D342B12">
      <w:start w:val="1"/>
      <w:numFmt w:val="decimal"/>
      <w:lvlText w:val="%1."/>
      <w:lvlJc w:val="left"/>
      <w:pPr>
        <w:ind w:left="70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7B7B626F"/>
    <w:multiLevelType w:val="hybridMultilevel"/>
    <w:tmpl w:val="175686A2"/>
    <w:lvl w:ilvl="0" w:tplc="6D1C22D6">
      <w:start w:val="1"/>
      <w:numFmt w:val="decimal"/>
      <w:lvlText w:val="%1."/>
      <w:lvlJc w:val="left"/>
      <w:pPr>
        <w:ind w:left="1068" w:hanging="708"/>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1927837621">
    <w:abstractNumId w:val="1"/>
  </w:num>
  <w:num w:numId="2" w16cid:durableId="1035085334">
    <w:abstractNumId w:val="6"/>
  </w:num>
  <w:num w:numId="3" w16cid:durableId="213011123">
    <w:abstractNumId w:val="0"/>
  </w:num>
  <w:num w:numId="4" w16cid:durableId="1530531704">
    <w:abstractNumId w:val="10"/>
  </w:num>
  <w:num w:numId="5" w16cid:durableId="1089888564">
    <w:abstractNumId w:val="7"/>
  </w:num>
  <w:num w:numId="6" w16cid:durableId="2037655434">
    <w:abstractNumId w:val="3"/>
  </w:num>
  <w:num w:numId="7" w16cid:durableId="1043604139">
    <w:abstractNumId w:val="4"/>
  </w:num>
  <w:num w:numId="8" w16cid:durableId="673609733">
    <w:abstractNumId w:val="9"/>
  </w:num>
  <w:num w:numId="9" w16cid:durableId="345180206">
    <w:abstractNumId w:val="11"/>
  </w:num>
  <w:num w:numId="10" w16cid:durableId="2058889643">
    <w:abstractNumId w:val="12"/>
  </w:num>
  <w:num w:numId="11" w16cid:durableId="467285013">
    <w:abstractNumId w:val="5"/>
  </w:num>
  <w:num w:numId="12" w16cid:durableId="1966961128">
    <w:abstractNumId w:val="2"/>
  </w:num>
  <w:num w:numId="13" w16cid:durableId="12014739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857"/>
    <w:rsid w:val="000002E1"/>
    <w:rsid w:val="00042190"/>
    <w:rsid w:val="00074C48"/>
    <w:rsid w:val="00075A7A"/>
    <w:rsid w:val="0007708F"/>
    <w:rsid w:val="00100F3B"/>
    <w:rsid w:val="001227B7"/>
    <w:rsid w:val="00314F34"/>
    <w:rsid w:val="00372A30"/>
    <w:rsid w:val="003B197C"/>
    <w:rsid w:val="004B525C"/>
    <w:rsid w:val="004E43CA"/>
    <w:rsid w:val="00592965"/>
    <w:rsid w:val="00603972"/>
    <w:rsid w:val="006473BE"/>
    <w:rsid w:val="00683E0B"/>
    <w:rsid w:val="006D3538"/>
    <w:rsid w:val="007B3615"/>
    <w:rsid w:val="007C6E8B"/>
    <w:rsid w:val="008418A6"/>
    <w:rsid w:val="00852EAB"/>
    <w:rsid w:val="00A026BF"/>
    <w:rsid w:val="00A0642E"/>
    <w:rsid w:val="00A24857"/>
    <w:rsid w:val="00A25142"/>
    <w:rsid w:val="00A37468"/>
    <w:rsid w:val="00AC6CE3"/>
    <w:rsid w:val="00B22A8C"/>
    <w:rsid w:val="00CC0240"/>
    <w:rsid w:val="00DC3B90"/>
    <w:rsid w:val="00EA3C8F"/>
    <w:rsid w:val="00F64170"/>
    <w:rsid w:val="00FA67B1"/>
    <w:rsid w:val="00FB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6067"/>
  <w15:chartTrackingRefBased/>
  <w15:docId w15:val="{D5893FB0-F330-43BC-AAD8-20358B643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37468"/>
    <w:pPr>
      <w:ind w:left="720"/>
      <w:contextualSpacing/>
    </w:pPr>
  </w:style>
  <w:style w:type="paragraph" w:styleId="Jutumullitekst">
    <w:name w:val="Balloon Text"/>
    <w:basedOn w:val="Normaallaad"/>
    <w:link w:val="JutumullitekstMrk"/>
    <w:uiPriority w:val="99"/>
    <w:semiHidden/>
    <w:unhideWhenUsed/>
    <w:rsid w:val="0007708F"/>
    <w:pPr>
      <w:spacing w:after="0" w:line="240" w:lineRule="auto"/>
    </w:pPr>
    <w:rPr>
      <w:rFonts w:ascii="Times New Roman" w:hAnsi="Times New Roman" w:cs="Times New Roman"/>
      <w:sz w:val="18"/>
      <w:szCs w:val="18"/>
    </w:rPr>
  </w:style>
  <w:style w:type="character" w:customStyle="1" w:styleId="JutumullitekstMrk">
    <w:name w:val="Jutumullitekst Märk"/>
    <w:basedOn w:val="Liguvaikefont"/>
    <w:link w:val="Jutumullitekst"/>
    <w:uiPriority w:val="99"/>
    <w:semiHidden/>
    <w:rsid w:val="0007708F"/>
    <w:rPr>
      <w:rFonts w:ascii="Times New Roman" w:hAnsi="Times New Roman" w:cs="Times New Roman"/>
      <w:sz w:val="18"/>
      <w:szCs w:val="18"/>
    </w:rPr>
  </w:style>
  <w:style w:type="paragraph" w:styleId="Pis">
    <w:name w:val="header"/>
    <w:basedOn w:val="Normaallaad"/>
    <w:link w:val="PisMrk"/>
    <w:uiPriority w:val="99"/>
    <w:unhideWhenUsed/>
    <w:rsid w:val="00B22A8C"/>
    <w:pPr>
      <w:tabs>
        <w:tab w:val="center" w:pos="4513"/>
        <w:tab w:val="right" w:pos="9026"/>
      </w:tabs>
      <w:spacing w:after="0" w:line="240" w:lineRule="auto"/>
    </w:pPr>
  </w:style>
  <w:style w:type="character" w:customStyle="1" w:styleId="PisMrk">
    <w:name w:val="Päis Märk"/>
    <w:basedOn w:val="Liguvaikefont"/>
    <w:link w:val="Pis"/>
    <w:uiPriority w:val="99"/>
    <w:rsid w:val="00B22A8C"/>
  </w:style>
  <w:style w:type="paragraph" w:styleId="Jalus">
    <w:name w:val="footer"/>
    <w:basedOn w:val="Normaallaad"/>
    <w:link w:val="JalusMrk"/>
    <w:uiPriority w:val="99"/>
    <w:unhideWhenUsed/>
    <w:rsid w:val="00B22A8C"/>
    <w:pPr>
      <w:tabs>
        <w:tab w:val="center" w:pos="4513"/>
        <w:tab w:val="right" w:pos="9026"/>
      </w:tabs>
      <w:spacing w:after="0" w:line="240" w:lineRule="auto"/>
    </w:pPr>
  </w:style>
  <w:style w:type="character" w:customStyle="1" w:styleId="JalusMrk">
    <w:name w:val="Jalus Märk"/>
    <w:basedOn w:val="Liguvaikefont"/>
    <w:link w:val="Jalus"/>
    <w:uiPriority w:val="99"/>
    <w:rsid w:val="00B2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957470">
      <w:bodyDiv w:val="1"/>
      <w:marLeft w:val="0"/>
      <w:marRight w:val="0"/>
      <w:marTop w:val="0"/>
      <w:marBottom w:val="0"/>
      <w:divBdr>
        <w:top w:val="none" w:sz="0" w:space="0" w:color="auto"/>
        <w:left w:val="none" w:sz="0" w:space="0" w:color="auto"/>
        <w:bottom w:val="none" w:sz="0" w:space="0" w:color="auto"/>
        <w:right w:val="none" w:sz="0" w:space="0" w:color="auto"/>
      </w:divBdr>
    </w:div>
    <w:div w:id="70583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724</Words>
  <Characters>4202</Characters>
  <Application>Microsoft Office Word</Application>
  <DocSecurity>0</DocSecurity>
  <Lines>35</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Piret</dc:creator>
  <cp:keywords/>
  <dc:description/>
  <cp:lastModifiedBy>Ravimitootjate Liit</cp:lastModifiedBy>
  <cp:revision>14</cp:revision>
  <dcterms:created xsi:type="dcterms:W3CDTF">2022-04-20T06:50:00Z</dcterms:created>
  <dcterms:modified xsi:type="dcterms:W3CDTF">2023-01-20T07:15:00Z</dcterms:modified>
</cp:coreProperties>
</file>