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4C8A" w14:textId="77777777" w:rsidR="000B48E4" w:rsidRDefault="000B48E4" w:rsidP="000B48E4">
      <w:pPr>
        <w:spacing w:after="0" w:line="240" w:lineRule="auto"/>
        <w:contextualSpacing/>
        <w:jc w:val="both"/>
        <w:rPr>
          <w:b/>
          <w:bCs/>
          <w:sz w:val="24"/>
          <w:szCs w:val="24"/>
        </w:rPr>
      </w:pPr>
    </w:p>
    <w:p w14:paraId="33D1B0C8" w14:textId="77777777" w:rsidR="000B48E4" w:rsidRDefault="000B48E4" w:rsidP="000B48E4">
      <w:pPr>
        <w:spacing w:after="0" w:line="240" w:lineRule="auto"/>
        <w:contextualSpacing/>
        <w:jc w:val="both"/>
        <w:rPr>
          <w:b/>
          <w:bCs/>
          <w:sz w:val="24"/>
          <w:szCs w:val="24"/>
        </w:rPr>
      </w:pPr>
    </w:p>
    <w:p w14:paraId="206536BB" w14:textId="77777777" w:rsidR="000B48E4" w:rsidRDefault="000B48E4" w:rsidP="000B48E4">
      <w:pPr>
        <w:spacing w:after="0" w:line="240" w:lineRule="auto"/>
        <w:contextualSpacing/>
        <w:jc w:val="both"/>
        <w:rPr>
          <w:b/>
          <w:bCs/>
          <w:sz w:val="24"/>
          <w:szCs w:val="24"/>
        </w:rPr>
      </w:pPr>
    </w:p>
    <w:p w14:paraId="3C9F23DB" w14:textId="5A0F956E" w:rsidR="000B48E4" w:rsidRPr="00DD0F9F" w:rsidRDefault="000B48E4" w:rsidP="000B48E4">
      <w:pPr>
        <w:spacing w:after="0" w:line="240" w:lineRule="auto"/>
        <w:contextualSpacing/>
        <w:jc w:val="both"/>
        <w:rPr>
          <w:b/>
          <w:bCs/>
          <w:color w:val="365F91" w:themeColor="accent1" w:themeShade="BF"/>
          <w:sz w:val="32"/>
          <w:szCs w:val="32"/>
        </w:rPr>
      </w:pPr>
      <w:r w:rsidRPr="00DD0F9F">
        <w:rPr>
          <w:b/>
          <w:bCs/>
          <w:color w:val="365F91" w:themeColor="accent1" w:themeShade="BF"/>
          <w:sz w:val="32"/>
          <w:szCs w:val="32"/>
        </w:rPr>
        <w:t xml:space="preserve">REK </w:t>
      </w:r>
      <w:r w:rsidR="00CA5A5A">
        <w:rPr>
          <w:b/>
          <w:bCs/>
          <w:color w:val="365F91" w:themeColor="accent1" w:themeShade="BF"/>
          <w:sz w:val="32"/>
          <w:szCs w:val="32"/>
        </w:rPr>
        <w:t>arvamus</w:t>
      </w:r>
      <w:r w:rsidRPr="00DD0F9F">
        <w:rPr>
          <w:b/>
          <w:bCs/>
          <w:color w:val="365F91" w:themeColor="accent1" w:themeShade="BF"/>
          <w:sz w:val="32"/>
          <w:szCs w:val="32"/>
        </w:rPr>
        <w:t xml:space="preserve"> 06.04.2023</w:t>
      </w:r>
    </w:p>
    <w:p w14:paraId="402F4E8B" w14:textId="77777777" w:rsidR="000B48E4" w:rsidRPr="000B48E4" w:rsidRDefault="000B48E4" w:rsidP="000B48E4">
      <w:pPr>
        <w:spacing w:after="0" w:line="240" w:lineRule="auto"/>
        <w:contextualSpacing/>
        <w:jc w:val="both"/>
        <w:rPr>
          <w:sz w:val="24"/>
          <w:szCs w:val="24"/>
        </w:rPr>
      </w:pPr>
    </w:p>
    <w:p w14:paraId="71E4F6FF" w14:textId="68CBEEC1" w:rsidR="000B48E4" w:rsidRPr="000B48E4" w:rsidRDefault="000B48E4" w:rsidP="000B48E4">
      <w:pPr>
        <w:spacing w:after="0" w:line="240" w:lineRule="auto"/>
        <w:contextualSpacing/>
        <w:jc w:val="both"/>
        <w:rPr>
          <w:sz w:val="24"/>
          <w:szCs w:val="24"/>
        </w:rPr>
      </w:pPr>
      <w:r w:rsidRPr="000B48E4">
        <w:rPr>
          <w:sz w:val="24"/>
          <w:szCs w:val="24"/>
        </w:rPr>
        <w:t>Ravimitootjate Liidu Eetikakomiteele (REK) tuli 1. aprillil 2023 küsimus planeeritava ürituse koha sobilikkuse kohta RTL-i eetikakoodeksi artikli 10 kontekstis, kusjuures koha kirjeldus on alljärgnev:</w:t>
      </w:r>
    </w:p>
    <w:p w14:paraId="77E47FEE" w14:textId="77777777" w:rsidR="000B48E4" w:rsidRPr="000B48E4" w:rsidRDefault="000B48E4" w:rsidP="000B48E4">
      <w:pPr>
        <w:pStyle w:val="Loendilik"/>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sz w:val="24"/>
          <w:szCs w:val="24"/>
          <w:lang w:val="et-EE"/>
        </w:rPr>
      </w:pPr>
      <w:r w:rsidRPr="000B48E4">
        <w:rPr>
          <w:sz w:val="24"/>
          <w:szCs w:val="24"/>
          <w:lang w:val="et-EE"/>
        </w:rPr>
        <w:t xml:space="preserve">toimuks logistiliselt hästi ligipääsetavas kohas Tallinnas, mis on leidnud laialdast kasutust ka teiste seminaride korraldajate poolt (näiteks: </w:t>
      </w:r>
      <w:hyperlink r:id="rId8" w:history="1">
        <w:r w:rsidRPr="000B48E4">
          <w:rPr>
            <w:rStyle w:val="Hperlink"/>
            <w:sz w:val="24"/>
            <w:szCs w:val="24"/>
            <w:lang w:val="et-EE"/>
          </w:rPr>
          <w:t>https://www.itk.ee/en/news/clinic-medical-rehabilitation-celebrates-10th-anniversary-conference</w:t>
        </w:r>
      </w:hyperlink>
      <w:r w:rsidRPr="000B48E4">
        <w:rPr>
          <w:sz w:val="24"/>
          <w:szCs w:val="24"/>
          <w:lang w:val="et-EE"/>
        </w:rPr>
        <w:t>);</w:t>
      </w:r>
    </w:p>
    <w:p w14:paraId="140CD1DD" w14:textId="6FE10CD1" w:rsidR="000B48E4" w:rsidRPr="000B48E4" w:rsidRDefault="000B48E4" w:rsidP="000B48E4">
      <w:pPr>
        <w:pStyle w:val="Loendilik"/>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sz w:val="24"/>
          <w:szCs w:val="24"/>
          <w:lang w:val="et-EE"/>
        </w:rPr>
      </w:pPr>
      <w:r w:rsidRPr="000B48E4">
        <w:rPr>
          <w:sz w:val="24"/>
          <w:szCs w:val="24"/>
          <w:lang w:val="et-EE"/>
        </w:rPr>
        <w:t>seminaride korraldamiseks kohaldatud ruumides, kus on olemas vajalikud seadmed (antud näitel</w:t>
      </w:r>
      <w:r w:rsidR="00367F83">
        <w:rPr>
          <w:sz w:val="24"/>
          <w:szCs w:val="24"/>
          <w:lang w:val="et-EE"/>
        </w:rPr>
        <w:t xml:space="preserve"> </w:t>
      </w:r>
      <w:hyperlink r:id="rId9" w:history="1">
        <w:r w:rsidR="00367F83" w:rsidRPr="00FE07F5">
          <w:rPr>
            <w:rStyle w:val="Hperlink"/>
            <w:sz w:val="24"/>
            <w:szCs w:val="24"/>
            <w:lang w:val="et-EE"/>
          </w:rPr>
          <w:t>https://www.fotografiska.com/tallinn/en/ruumid/i-korruse-saal/</w:t>
        </w:r>
      </w:hyperlink>
      <w:r w:rsidR="00367F83">
        <w:rPr>
          <w:sz w:val="24"/>
          <w:szCs w:val="24"/>
          <w:lang w:val="et-EE"/>
        </w:rPr>
        <w:t xml:space="preserve">. </w:t>
      </w:r>
      <w:r w:rsidRPr="000B48E4">
        <w:rPr>
          <w:sz w:val="24"/>
          <w:szCs w:val="24"/>
          <w:lang w:val="et-EE"/>
        </w:rPr>
        <w:t xml:space="preserve">Seminariruumid ei ole </w:t>
      </w:r>
      <w:r w:rsidR="00367F83">
        <w:rPr>
          <w:sz w:val="24"/>
          <w:szCs w:val="24"/>
          <w:lang w:val="et-EE"/>
        </w:rPr>
        <w:t>sündmuse korraldaja</w:t>
      </w:r>
      <w:r w:rsidRPr="000B48E4">
        <w:rPr>
          <w:sz w:val="24"/>
          <w:szCs w:val="24"/>
          <w:lang w:val="et-EE"/>
        </w:rPr>
        <w:t xml:space="preserve"> hinnangul tuntud meelelahutusvõimaluste poolest ega ekstravagantsed;</w:t>
      </w:r>
    </w:p>
    <w:p w14:paraId="4ADBBD43" w14:textId="4C4C8347" w:rsidR="000B48E4" w:rsidRPr="000B48E4" w:rsidRDefault="000B48E4" w:rsidP="000B48E4">
      <w:pPr>
        <w:pStyle w:val="Loendilik"/>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sz w:val="24"/>
          <w:szCs w:val="24"/>
          <w:lang w:val="et-EE"/>
        </w:rPr>
      </w:pPr>
      <w:r w:rsidRPr="000B48E4">
        <w:rPr>
          <w:sz w:val="24"/>
          <w:szCs w:val="24"/>
          <w:lang w:val="et-EE"/>
        </w:rPr>
        <w:t>Seminariruumidest eraldi, hoone teistel korrustel asub kunstigalerii, st külalised ei pääse piletit vajavatele korrustele. Sündmuse korraldaja ja Fotografiska sätestavad seminari broneeringus selle klausli eraldi ka kirjalikult.</w:t>
      </w:r>
    </w:p>
    <w:p w14:paraId="6AF89319" w14:textId="77777777" w:rsidR="000B48E4" w:rsidRPr="000B48E4" w:rsidRDefault="000B48E4" w:rsidP="000B48E4">
      <w:pPr>
        <w:spacing w:after="0" w:line="240" w:lineRule="auto"/>
        <w:jc w:val="both"/>
        <w:rPr>
          <w:sz w:val="24"/>
          <w:szCs w:val="24"/>
        </w:rPr>
      </w:pPr>
    </w:p>
    <w:p w14:paraId="5D30052A" w14:textId="77777777" w:rsidR="000B48E4" w:rsidRPr="000B48E4" w:rsidRDefault="000B48E4" w:rsidP="000B48E4">
      <w:pPr>
        <w:spacing w:after="0" w:line="240" w:lineRule="auto"/>
        <w:jc w:val="both"/>
        <w:rPr>
          <w:sz w:val="24"/>
          <w:szCs w:val="24"/>
        </w:rPr>
      </w:pPr>
      <w:r w:rsidRPr="000B48E4">
        <w:rPr>
          <w:sz w:val="24"/>
          <w:szCs w:val="24"/>
        </w:rPr>
        <w:t>REK arutas saabunud küsimust oma 6. aprill 2023 koosolekul. REK liikmed arutlesid küsimust peamiselt eetikakoodeksi artikli 10.05 sõna „ekstravagantne“ kontekstis. RTL eetikakoodeksi artikkel 10.05 sätestab:</w:t>
      </w:r>
    </w:p>
    <w:p w14:paraId="1643096E" w14:textId="77777777" w:rsidR="000B48E4" w:rsidRPr="000B48E4" w:rsidRDefault="000B48E4" w:rsidP="000B48E4">
      <w:pPr>
        <w:spacing w:after="0" w:line="240" w:lineRule="auto"/>
        <w:jc w:val="both"/>
        <w:rPr>
          <w:sz w:val="24"/>
          <w:szCs w:val="24"/>
        </w:rPr>
      </w:pPr>
    </w:p>
    <w:p w14:paraId="24CD8D64" w14:textId="77777777" w:rsidR="000B48E4" w:rsidRPr="000B48E4" w:rsidRDefault="000B48E4" w:rsidP="000B48E4">
      <w:pPr>
        <w:spacing w:after="0" w:line="240" w:lineRule="auto"/>
        <w:jc w:val="both"/>
        <w:rPr>
          <w:sz w:val="24"/>
          <w:szCs w:val="24"/>
        </w:rPr>
      </w:pPr>
      <w:r w:rsidRPr="000B48E4">
        <w:rPr>
          <w:sz w:val="24"/>
          <w:szCs w:val="24"/>
        </w:rPr>
        <w:t>„</w:t>
      </w:r>
      <w:r w:rsidRPr="000B48E4">
        <w:rPr>
          <w:i/>
          <w:sz w:val="24"/>
          <w:szCs w:val="24"/>
        </w:rPr>
        <w:t>Sobiva toimumiskoha eelduseks on konverentsiruumide olemasolu ning on oluline, et ei tuldaks toimumiskoha pärast ja ei kasutataks meelelahutusvõimalusi (kui ka kohal on sellised lisaväärtused iseenesest olemas). Kuna Eestis on enamik konverentsikohti ühel või teisel moel tuntud ka meelelahutuskohtadena, siis tuleb arvestada, et toimumiskoht või selle pakutavad teenused, v.a konverentsiteenus iseenesest, ei tohi olla üritusele tulemise ajendiks. Ekstravagantseks peetakse toimumiskohta, mis on oma erilisusega üritusele tulemise põhjuseks.</w:t>
      </w:r>
      <w:r w:rsidRPr="000B48E4">
        <w:rPr>
          <w:sz w:val="24"/>
          <w:szCs w:val="24"/>
        </w:rPr>
        <w:t>“</w:t>
      </w:r>
    </w:p>
    <w:p w14:paraId="7CB5F34A" w14:textId="77777777" w:rsidR="000B48E4" w:rsidRPr="000B48E4" w:rsidRDefault="000B48E4" w:rsidP="000B48E4">
      <w:pPr>
        <w:spacing w:after="0" w:line="240" w:lineRule="auto"/>
        <w:jc w:val="both"/>
        <w:rPr>
          <w:sz w:val="24"/>
          <w:szCs w:val="24"/>
        </w:rPr>
      </w:pPr>
    </w:p>
    <w:p w14:paraId="6B436666" w14:textId="77777777" w:rsidR="000B48E4" w:rsidRPr="000B48E4" w:rsidRDefault="000B48E4" w:rsidP="000B48E4">
      <w:pPr>
        <w:spacing w:after="0" w:line="240" w:lineRule="auto"/>
        <w:jc w:val="both"/>
        <w:rPr>
          <w:sz w:val="24"/>
          <w:szCs w:val="24"/>
        </w:rPr>
      </w:pPr>
      <w:r w:rsidRPr="000B48E4">
        <w:rPr>
          <w:sz w:val="24"/>
          <w:szCs w:val="24"/>
        </w:rPr>
        <w:t xml:space="preserve">Lähtuvalt eetikakoodeksi ülalviidatud artiklist 10.05, leidsid REK liikmed, et koha ekstravagantsuse osas võib olla erinevaid arusaamu ja tõlgendusi, aga sõna „ekstravagantne“ tõlgendamisel ei peaks nii palju keskenduma kohale kui sellisele, vaid sellele, et ei kasutataks toimumiskohaga seonduvaid meelelahutusvõimalusi ja muid taolisi lisaväärtuseid. </w:t>
      </w:r>
    </w:p>
    <w:p w14:paraId="13BC5576" w14:textId="77777777" w:rsidR="000B48E4" w:rsidRPr="000B48E4" w:rsidRDefault="000B48E4" w:rsidP="000B48E4">
      <w:pPr>
        <w:spacing w:after="0" w:line="240" w:lineRule="auto"/>
        <w:jc w:val="both"/>
        <w:rPr>
          <w:sz w:val="24"/>
          <w:szCs w:val="24"/>
        </w:rPr>
      </w:pPr>
    </w:p>
    <w:p w14:paraId="3B2753D4" w14:textId="2E55299D" w:rsidR="000B48E4" w:rsidRPr="000B48E4" w:rsidRDefault="000B48E4" w:rsidP="000B48E4">
      <w:pPr>
        <w:spacing w:after="0" w:line="240" w:lineRule="auto"/>
        <w:jc w:val="both"/>
        <w:rPr>
          <w:sz w:val="24"/>
          <w:szCs w:val="24"/>
        </w:rPr>
      </w:pPr>
      <w:r w:rsidRPr="000B48E4">
        <w:rPr>
          <w:sz w:val="24"/>
          <w:szCs w:val="24"/>
        </w:rPr>
        <w:t>REK liikmete hinnangul on Fotografiska puhul tegemist tervishoiusektoris mitmete ürituste korraldamiseks kasutatava kohaga, mis on lihtsasti juurdepääsetav, oluline on, et on tagatud eraldi ruumi ja seadmete olemasolu konverentside korraldamiseks. Antud konkreetsel juhul tagab firma lisaks ka selle, et osalejad ei pääse piletit vajavatele, kunstigaleriiga korrustele. REK liikmete hinnangul on liikmesfirma ürituse korraldajana sellega omalt poolt piisavalt teinud.</w:t>
      </w:r>
    </w:p>
    <w:p w14:paraId="6EC7BC30" w14:textId="77777777" w:rsidR="000B48E4" w:rsidRPr="000B48E4" w:rsidRDefault="000B48E4" w:rsidP="000B48E4">
      <w:pPr>
        <w:spacing w:after="0" w:line="240" w:lineRule="auto"/>
        <w:jc w:val="both"/>
        <w:rPr>
          <w:sz w:val="24"/>
          <w:szCs w:val="24"/>
        </w:rPr>
      </w:pPr>
    </w:p>
    <w:p w14:paraId="7F8B64E9" w14:textId="77777777" w:rsidR="000B48E4" w:rsidRPr="000B48E4" w:rsidRDefault="000B48E4" w:rsidP="000B48E4">
      <w:pPr>
        <w:spacing w:after="0" w:line="240" w:lineRule="auto"/>
        <w:jc w:val="both"/>
        <w:rPr>
          <w:sz w:val="24"/>
          <w:szCs w:val="24"/>
        </w:rPr>
      </w:pPr>
      <w:r w:rsidRPr="000B48E4">
        <w:rPr>
          <w:sz w:val="24"/>
          <w:szCs w:val="24"/>
        </w:rPr>
        <w:lastRenderedPageBreak/>
        <w:t xml:space="preserve">REK liikmete hinnangul on ajad muutunud, sündmuste toimumise kohad ongi tihti keskkonnas, kus on ka muid teenuseid (nt muuseumid, kunstigaleriid – KUMU ja ERM) ja sündmuskohad ei ole enam nii eksklusiivsed, osalejad ei tule enam koha kui sellise pärast sündmusele.  </w:t>
      </w:r>
    </w:p>
    <w:p w14:paraId="40B6A6AB" w14:textId="77777777" w:rsidR="000B48E4" w:rsidRPr="000B48E4" w:rsidRDefault="000B48E4" w:rsidP="000B48E4">
      <w:pPr>
        <w:spacing w:after="0" w:line="240" w:lineRule="auto"/>
        <w:contextualSpacing/>
        <w:jc w:val="both"/>
        <w:rPr>
          <w:sz w:val="24"/>
          <w:szCs w:val="24"/>
        </w:rPr>
      </w:pPr>
    </w:p>
    <w:p w14:paraId="3A24B6A7" w14:textId="5ADA12F8" w:rsidR="000B48E4" w:rsidRPr="00DD0F9F" w:rsidRDefault="006F3BB5" w:rsidP="000B48E4">
      <w:pPr>
        <w:spacing w:after="0" w:line="240" w:lineRule="auto"/>
        <w:contextualSpacing/>
        <w:jc w:val="both"/>
        <w:rPr>
          <w:b/>
          <w:bCs/>
          <w:color w:val="365F91" w:themeColor="accent1" w:themeShade="BF"/>
          <w:sz w:val="24"/>
          <w:szCs w:val="24"/>
        </w:rPr>
      </w:pPr>
      <w:r>
        <w:rPr>
          <w:b/>
          <w:bCs/>
          <w:color w:val="365F91" w:themeColor="accent1" w:themeShade="BF"/>
          <w:sz w:val="24"/>
          <w:szCs w:val="24"/>
        </w:rPr>
        <w:t>ARVAMUS</w:t>
      </w:r>
      <w:r w:rsidR="000B48E4" w:rsidRPr="00DD0F9F">
        <w:rPr>
          <w:b/>
          <w:bCs/>
          <w:color w:val="365F91" w:themeColor="accent1" w:themeShade="BF"/>
          <w:sz w:val="24"/>
          <w:szCs w:val="24"/>
        </w:rPr>
        <w:t>:</w:t>
      </w:r>
    </w:p>
    <w:p w14:paraId="2D7FF7EA" w14:textId="77777777" w:rsidR="000B48E4" w:rsidRPr="000B48E4" w:rsidRDefault="000B48E4" w:rsidP="000B48E4">
      <w:pPr>
        <w:pStyle w:val="Loendilik"/>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contextualSpacing/>
        <w:jc w:val="both"/>
        <w:rPr>
          <w:sz w:val="24"/>
          <w:szCs w:val="24"/>
          <w:lang w:val="et-EE"/>
        </w:rPr>
      </w:pPr>
      <w:r w:rsidRPr="000B48E4">
        <w:rPr>
          <w:sz w:val="24"/>
          <w:szCs w:val="24"/>
          <w:lang w:val="et-EE"/>
        </w:rPr>
        <w:t xml:space="preserve">Kuigi REK hinnangul võib sõna „ekstravagantne“ eetikakoodeksi artiklis 10.05 tekitada erinevaid tõlgendamisvõimalusi, on sündmuste toimumise kohad paratamatult tihti keskkonnas, kus on ka muid teenuseid ning mitmed sündmuskohad ei ole enam oma uudsuse minetamise tõttu ka nii eksklusiivsed, mistõttu osalejad ei tule koha kui sellise pärast sündmusele. Sõna „ekstravagantne“ tõlgendamisel ei peaks nii palju keskenduma kohale kui sellisele, vaid sellele, et ei kasutataks toimumiskohaga seonduvaid meelelahutusvõimalusi ja muid taolisi lisaväärtuseid. Kui liikmesfirma ürituse korraldajana on omalt poolt teinud kõik mõistlikult võimaliku selleks, et  ürituse toimumiskohaga samas majas pakutav meelelahutuse võimalus või muu taoline lisaväärtus ei ole sealses konverentsi- või seminariruumis toimuval üritusel osalejatele ürituse käigus vabalt ligipääsetav (nt vajab eraldi pileti ostmist), siis saab REK liikmete hinnangul toimumiskohta reeglina eetikakoodeksi nõuetega kooskõlas olevaks pidada. </w:t>
      </w:r>
    </w:p>
    <w:p w14:paraId="21569E48" w14:textId="77777777" w:rsidR="000B48E4" w:rsidRPr="000B48E4" w:rsidRDefault="000B48E4" w:rsidP="000B48E4">
      <w:pPr>
        <w:spacing w:after="0" w:line="240" w:lineRule="auto"/>
        <w:contextualSpacing/>
        <w:jc w:val="both"/>
        <w:rPr>
          <w:sz w:val="24"/>
          <w:szCs w:val="24"/>
        </w:rPr>
      </w:pPr>
    </w:p>
    <w:p w14:paraId="1302F492" w14:textId="77777777" w:rsidR="000B48E4" w:rsidRPr="000B48E4" w:rsidRDefault="000B48E4" w:rsidP="000B48E4">
      <w:pPr>
        <w:spacing w:after="0" w:line="240" w:lineRule="auto"/>
        <w:contextualSpacing/>
        <w:jc w:val="both"/>
        <w:rPr>
          <w:sz w:val="24"/>
          <w:szCs w:val="24"/>
        </w:rPr>
      </w:pPr>
    </w:p>
    <w:p w14:paraId="7D372704" w14:textId="5AB4C29D" w:rsidR="00831C2B" w:rsidRPr="000B48E4" w:rsidRDefault="00831C2B" w:rsidP="00CC2588">
      <w:pPr>
        <w:spacing w:after="0" w:line="240" w:lineRule="auto"/>
        <w:contextualSpacing/>
        <w:jc w:val="both"/>
        <w:rPr>
          <w:sz w:val="24"/>
          <w:szCs w:val="24"/>
        </w:rPr>
      </w:pPr>
    </w:p>
    <w:sectPr w:rsidR="00831C2B" w:rsidRPr="000B48E4" w:rsidSect="00CC2588">
      <w:headerReference w:type="default" r:id="rId10"/>
      <w:footerReference w:type="default" r:id="rId11"/>
      <w:headerReference w:type="first" r:id="rId12"/>
      <w:footerReference w:type="first" r:id="rId13"/>
      <w:pgSz w:w="12240" w:h="15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750E" w14:textId="77777777" w:rsidR="00163BFF" w:rsidRDefault="00163BFF">
      <w:pPr>
        <w:spacing w:after="0" w:line="240" w:lineRule="auto"/>
      </w:pPr>
      <w:r>
        <w:separator/>
      </w:r>
    </w:p>
  </w:endnote>
  <w:endnote w:type="continuationSeparator" w:id="0">
    <w:p w14:paraId="32BAB0F2" w14:textId="77777777" w:rsidR="00163BFF" w:rsidRDefault="0016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53415"/>
      <w:docPartObj>
        <w:docPartGallery w:val="Page Numbers (Bottom of Page)"/>
        <w:docPartUnique/>
      </w:docPartObj>
    </w:sdtPr>
    <w:sdtContent>
      <w:p w14:paraId="25FBC1EE" w14:textId="0E2135B3" w:rsidR="00DD0F9F" w:rsidRDefault="00DD0F9F">
        <w:pPr>
          <w:pStyle w:val="Jalus"/>
          <w:jc w:val="right"/>
        </w:pPr>
        <w:r>
          <w:fldChar w:fldCharType="begin"/>
        </w:r>
        <w:r>
          <w:instrText>PAGE   \* MERGEFORMAT</w:instrText>
        </w:r>
        <w:r>
          <w:fldChar w:fldCharType="separate"/>
        </w:r>
        <w:r>
          <w:t>2</w:t>
        </w:r>
        <w:r>
          <w:fldChar w:fldCharType="end"/>
        </w:r>
      </w:p>
    </w:sdtContent>
  </w:sdt>
  <w:p w14:paraId="73F0A12A" w14:textId="0B528A1F" w:rsidR="00423E2B" w:rsidRPr="00B40CFD" w:rsidRDefault="00423E2B">
    <w:pPr>
      <w:spacing w:after="0" w:line="240" w:lineRule="auto"/>
      <w:rPr>
        <w:color w:val="215868" w:themeColor="accent5"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AC7F" w14:textId="30C29A95" w:rsidR="00423E2B" w:rsidRDefault="00423E2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450D" w14:textId="77777777" w:rsidR="00163BFF" w:rsidRDefault="00163BFF">
      <w:pPr>
        <w:spacing w:after="0" w:line="240" w:lineRule="auto"/>
      </w:pPr>
      <w:r>
        <w:separator/>
      </w:r>
    </w:p>
  </w:footnote>
  <w:footnote w:type="continuationSeparator" w:id="0">
    <w:p w14:paraId="20079848" w14:textId="77777777" w:rsidR="00163BFF" w:rsidRDefault="0016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9894" w14:textId="77777777" w:rsidR="00423E2B" w:rsidRDefault="00423E2B" w:rsidP="00095EC9">
    <w:pPr>
      <w:pStyle w:val="Pi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4BD7" w14:textId="77777777" w:rsidR="00423E2B" w:rsidRDefault="00423E2B" w:rsidP="00DD0F9F">
    <w:pPr>
      <w:pStyle w:val="Pis"/>
      <w:tabs>
        <w:tab w:val="clear" w:pos="9406"/>
        <w:tab w:val="right" w:pos="8627"/>
      </w:tabs>
      <w:jc w:val="right"/>
    </w:pPr>
    <w:r>
      <w:rPr>
        <w:noProof/>
        <w:lang w:eastAsia="en-US"/>
      </w:rPr>
      <w:drawing>
        <wp:inline distT="0" distB="0" distL="0" distR="0" wp14:anchorId="447C2AA7" wp14:editId="415DF353">
          <wp:extent cx="3684270" cy="55816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stretch>
                    <a:fillRect/>
                  </a:stretch>
                </pic:blipFill>
                <pic:spPr>
                  <a:xfrm>
                    <a:off x="0" y="0"/>
                    <a:ext cx="3684270" cy="55816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4B34"/>
    <w:multiLevelType w:val="hybridMultilevel"/>
    <w:tmpl w:val="81180F56"/>
    <w:lvl w:ilvl="0" w:tplc="CA7E00DC">
      <w:numFmt w:val="bullet"/>
      <w:lvlText w:val="-"/>
      <w:lvlJc w:val="left"/>
      <w:pPr>
        <w:ind w:left="360" w:hanging="360"/>
      </w:pPr>
      <w:rPr>
        <w:rFonts w:ascii="Calibri" w:eastAsia="Calibri" w:hAnsi="Calibri" w:cs="Calibri" w:hint="default"/>
      </w:rPr>
    </w:lvl>
    <w:lvl w:ilvl="1" w:tplc="C67065D0">
      <w:numFmt w:val="bullet"/>
      <w:lvlText w:val="•"/>
      <w:lvlJc w:val="left"/>
      <w:pPr>
        <w:ind w:left="1080" w:hanging="360"/>
      </w:pPr>
      <w:rPr>
        <w:rFonts w:ascii="Calibri" w:eastAsia="Calibri" w:hAnsi="Calibri" w:cs="Calibri"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0A71E9"/>
    <w:multiLevelType w:val="hybridMultilevel"/>
    <w:tmpl w:val="854C201A"/>
    <w:styleLink w:val="ImportedStyle3"/>
    <w:lvl w:ilvl="0" w:tplc="05D4F1B0">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044EAC">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ECAB5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02CBA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E89F4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0030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CF27A">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F626C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16B69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BA5C6D"/>
    <w:multiLevelType w:val="hybridMultilevel"/>
    <w:tmpl w:val="419C84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53D7726"/>
    <w:multiLevelType w:val="hybridMultilevel"/>
    <w:tmpl w:val="9FC24F0E"/>
    <w:numStyleLink w:val="ImportedStyle2"/>
  </w:abstractNum>
  <w:abstractNum w:abstractNumId="4" w15:restartNumberingAfterBreak="0">
    <w:nsid w:val="166608C6"/>
    <w:multiLevelType w:val="multilevel"/>
    <w:tmpl w:val="9B802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74E68"/>
    <w:multiLevelType w:val="hybridMultilevel"/>
    <w:tmpl w:val="FEE6464A"/>
    <w:numStyleLink w:val="ImportedStyle1"/>
  </w:abstractNum>
  <w:abstractNum w:abstractNumId="6" w15:restartNumberingAfterBreak="0">
    <w:nsid w:val="202314F6"/>
    <w:multiLevelType w:val="hybridMultilevel"/>
    <w:tmpl w:val="99AE50F8"/>
    <w:lvl w:ilvl="0" w:tplc="CA7E00DC">
      <w:numFmt w:val="bullet"/>
      <w:lvlText w:val="-"/>
      <w:lvlJc w:val="left"/>
      <w:pPr>
        <w:ind w:left="36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2E853F1"/>
    <w:multiLevelType w:val="hybridMultilevel"/>
    <w:tmpl w:val="87309FBC"/>
    <w:numStyleLink w:val="ImportedStyle4"/>
  </w:abstractNum>
  <w:abstractNum w:abstractNumId="8" w15:restartNumberingAfterBreak="0">
    <w:nsid w:val="327E4F86"/>
    <w:multiLevelType w:val="hybridMultilevel"/>
    <w:tmpl w:val="0B9A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00089"/>
    <w:multiLevelType w:val="hybridMultilevel"/>
    <w:tmpl w:val="854C201A"/>
    <w:numStyleLink w:val="ImportedStyle3"/>
  </w:abstractNum>
  <w:abstractNum w:abstractNumId="10" w15:restartNumberingAfterBreak="0">
    <w:nsid w:val="39E82FE0"/>
    <w:multiLevelType w:val="hybridMultilevel"/>
    <w:tmpl w:val="9FC24F0E"/>
    <w:styleLink w:val="ImportedStyle2"/>
    <w:lvl w:ilvl="0" w:tplc="41AE0DAA">
      <w:start w:val="1"/>
      <w:numFmt w:val="decimal"/>
      <w:lvlText w:val="%1."/>
      <w:lvlJc w:val="left"/>
      <w:pPr>
        <w:ind w:left="709"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C9CF6">
      <w:start w:val="1"/>
      <w:numFmt w:val="lowerLetter"/>
      <w:lvlText w:val="%2."/>
      <w:lvlJc w:val="left"/>
      <w:pPr>
        <w:ind w:left="1069"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94F2C2">
      <w:start w:val="1"/>
      <w:numFmt w:val="lowerRoman"/>
      <w:lvlText w:val="%3."/>
      <w:lvlJc w:val="left"/>
      <w:pPr>
        <w:ind w:left="1789" w:hanging="3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0FC04">
      <w:start w:val="1"/>
      <w:numFmt w:val="decimal"/>
      <w:lvlText w:val="%4."/>
      <w:lvlJc w:val="left"/>
      <w:pPr>
        <w:ind w:left="2509"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E2970">
      <w:start w:val="1"/>
      <w:numFmt w:val="lowerLetter"/>
      <w:lvlText w:val="%5."/>
      <w:lvlJc w:val="left"/>
      <w:pPr>
        <w:ind w:left="3229"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2950">
      <w:start w:val="1"/>
      <w:numFmt w:val="lowerRoman"/>
      <w:lvlText w:val="%6."/>
      <w:lvlJc w:val="left"/>
      <w:pPr>
        <w:ind w:left="3949" w:hanging="3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64F65E">
      <w:start w:val="1"/>
      <w:numFmt w:val="decimal"/>
      <w:lvlText w:val="%7."/>
      <w:lvlJc w:val="left"/>
      <w:pPr>
        <w:ind w:left="4669"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ED288">
      <w:start w:val="1"/>
      <w:numFmt w:val="lowerLetter"/>
      <w:lvlText w:val="%8."/>
      <w:lvlJc w:val="left"/>
      <w:pPr>
        <w:ind w:left="5389" w:hanging="4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02A1A">
      <w:start w:val="1"/>
      <w:numFmt w:val="lowerRoman"/>
      <w:lvlText w:val="%9."/>
      <w:lvlJc w:val="left"/>
      <w:pPr>
        <w:ind w:left="6109" w:hanging="3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D87EA0"/>
    <w:multiLevelType w:val="hybridMultilevel"/>
    <w:tmpl w:val="7A4AD77A"/>
    <w:lvl w:ilvl="0" w:tplc="B6382936">
      <w:start w:val="5"/>
      <w:numFmt w:val="bullet"/>
      <w:lvlText w:val="-"/>
      <w:lvlJc w:val="left"/>
      <w:pPr>
        <w:ind w:left="720" w:hanging="360"/>
      </w:pPr>
      <w:rPr>
        <w:rFonts w:ascii="Calibri" w:eastAsia="Times New Roman" w:hAnsi="Calibri" w:cs="Calibri"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1AF9"/>
    <w:multiLevelType w:val="hybridMultilevel"/>
    <w:tmpl w:val="CEF2A974"/>
    <w:lvl w:ilvl="0" w:tplc="31A637B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546D1917"/>
    <w:multiLevelType w:val="hybridMultilevel"/>
    <w:tmpl w:val="574A226E"/>
    <w:lvl w:ilvl="0" w:tplc="EC8AF81A">
      <w:start w:val="1"/>
      <w:numFmt w:val="bullet"/>
      <w:lvlText w:val=""/>
      <w:lvlJc w:val="left"/>
      <w:pPr>
        <w:ind w:left="785"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AAD65C">
      <w:start w:val="1"/>
      <w:numFmt w:val="bullet"/>
      <w:lvlText w:val="o"/>
      <w:lvlJc w:val="left"/>
      <w:pPr>
        <w:ind w:left="1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4EFD54">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EE30C">
      <w:start w:val="1"/>
      <w:numFmt w:val="bullet"/>
      <w:lvlText w:val="•"/>
      <w:lvlJc w:val="left"/>
      <w:pPr>
        <w:ind w:left="294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08D276">
      <w:start w:val="1"/>
      <w:numFmt w:val="bullet"/>
      <w:lvlText w:val="o"/>
      <w:lvlJc w:val="left"/>
      <w:pPr>
        <w:ind w:left="36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63B0C">
      <w:start w:val="1"/>
      <w:numFmt w:val="bullet"/>
      <w:lvlText w:val="▪"/>
      <w:lvlJc w:val="left"/>
      <w:pPr>
        <w:ind w:left="43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642A8">
      <w:start w:val="1"/>
      <w:numFmt w:val="bullet"/>
      <w:lvlText w:val="•"/>
      <w:lvlJc w:val="left"/>
      <w:pPr>
        <w:ind w:left="510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1ABB6C">
      <w:start w:val="1"/>
      <w:numFmt w:val="bullet"/>
      <w:lvlText w:val="o"/>
      <w:lvlJc w:val="left"/>
      <w:pPr>
        <w:ind w:left="58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12F5F6">
      <w:start w:val="1"/>
      <w:numFmt w:val="bullet"/>
      <w:lvlText w:val="▪"/>
      <w:lvlJc w:val="left"/>
      <w:pPr>
        <w:ind w:left="65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04229E"/>
    <w:multiLevelType w:val="hybridMultilevel"/>
    <w:tmpl w:val="950C518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C306FB7"/>
    <w:multiLevelType w:val="hybridMultilevel"/>
    <w:tmpl w:val="276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B6BF9"/>
    <w:multiLevelType w:val="hybridMultilevel"/>
    <w:tmpl w:val="EE5A768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6AF334DD"/>
    <w:multiLevelType w:val="hybridMultilevel"/>
    <w:tmpl w:val="87309FBC"/>
    <w:styleLink w:val="ImportedStyle4"/>
    <w:lvl w:ilvl="0" w:tplc="6E201BB2">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7E2E7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1E266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56C51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CC14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1EC60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623D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2F1D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36FCA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32A59DA"/>
    <w:multiLevelType w:val="hybridMultilevel"/>
    <w:tmpl w:val="AD80B3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C650FB"/>
    <w:multiLevelType w:val="multilevel"/>
    <w:tmpl w:val="F536B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527B8"/>
    <w:multiLevelType w:val="hybridMultilevel"/>
    <w:tmpl w:val="E68E6F36"/>
    <w:lvl w:ilvl="0" w:tplc="F74E239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7DCF4E8B"/>
    <w:multiLevelType w:val="hybridMultilevel"/>
    <w:tmpl w:val="FEE6464A"/>
    <w:styleLink w:val="ImportedStyle1"/>
    <w:lvl w:ilvl="0" w:tplc="D3F06038">
      <w:start w:val="1"/>
      <w:numFmt w:val="upperRoman"/>
      <w:lvlText w:val="%1."/>
      <w:lvlJc w:val="left"/>
      <w:pPr>
        <w:ind w:left="851" w:hanging="85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0ED566">
      <w:start w:val="1"/>
      <w:numFmt w:val="lowerLetter"/>
      <w:lvlText w:val="%2."/>
      <w:lvlJc w:val="left"/>
      <w:pPr>
        <w:ind w:left="1211" w:hanging="4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A2E9F0">
      <w:start w:val="1"/>
      <w:numFmt w:val="lowerRoman"/>
      <w:lvlText w:val="%3."/>
      <w:lvlJc w:val="left"/>
      <w:pPr>
        <w:ind w:left="1931" w:hanging="4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8AC4A">
      <w:start w:val="1"/>
      <w:numFmt w:val="decimal"/>
      <w:lvlText w:val="%4."/>
      <w:lvlJc w:val="left"/>
      <w:pPr>
        <w:ind w:left="2651" w:hanging="4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08511E">
      <w:start w:val="1"/>
      <w:numFmt w:val="lowerLetter"/>
      <w:lvlText w:val="%5."/>
      <w:lvlJc w:val="left"/>
      <w:pPr>
        <w:ind w:left="3371" w:hanging="4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24210">
      <w:start w:val="1"/>
      <w:numFmt w:val="lowerRoman"/>
      <w:lvlText w:val="%6."/>
      <w:lvlJc w:val="left"/>
      <w:pPr>
        <w:ind w:left="4091" w:hanging="4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6A784">
      <w:start w:val="1"/>
      <w:numFmt w:val="decimal"/>
      <w:lvlText w:val="%7."/>
      <w:lvlJc w:val="left"/>
      <w:pPr>
        <w:ind w:left="4811" w:hanging="4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EAD8DA">
      <w:start w:val="1"/>
      <w:numFmt w:val="lowerLetter"/>
      <w:lvlText w:val="%8."/>
      <w:lvlJc w:val="left"/>
      <w:pPr>
        <w:ind w:left="5531" w:hanging="4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48C9E0">
      <w:start w:val="1"/>
      <w:numFmt w:val="lowerRoman"/>
      <w:lvlText w:val="%9."/>
      <w:lvlJc w:val="left"/>
      <w:pPr>
        <w:ind w:left="6251" w:hanging="4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21140B"/>
    <w:multiLevelType w:val="hybridMultilevel"/>
    <w:tmpl w:val="232E0290"/>
    <w:lvl w:ilvl="0" w:tplc="EC8AF81A">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6C41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FEB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28C7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AA8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188F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306C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4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B469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75340254">
    <w:abstractNumId w:val="21"/>
  </w:num>
  <w:num w:numId="2" w16cid:durableId="943079888">
    <w:abstractNumId w:val="5"/>
  </w:num>
  <w:num w:numId="3" w16cid:durableId="1748190628">
    <w:abstractNumId w:val="10"/>
  </w:num>
  <w:num w:numId="4" w16cid:durableId="1225094709">
    <w:abstractNumId w:val="3"/>
  </w:num>
  <w:num w:numId="5" w16cid:durableId="336662591">
    <w:abstractNumId w:val="1"/>
  </w:num>
  <w:num w:numId="6" w16cid:durableId="1280987564">
    <w:abstractNumId w:val="9"/>
  </w:num>
  <w:num w:numId="7" w16cid:durableId="1126504976">
    <w:abstractNumId w:val="3"/>
    <w:lvlOverride w:ilvl="0">
      <w:startOverride w:val="2"/>
    </w:lvlOverride>
  </w:num>
  <w:num w:numId="8" w16cid:durableId="1991328725">
    <w:abstractNumId w:val="17"/>
  </w:num>
  <w:num w:numId="9" w16cid:durableId="247538977">
    <w:abstractNumId w:val="7"/>
  </w:num>
  <w:num w:numId="10" w16cid:durableId="1436095343">
    <w:abstractNumId w:val="3"/>
    <w:lvlOverride w:ilvl="0">
      <w:startOverride w:val="3"/>
    </w:lvlOverride>
  </w:num>
  <w:num w:numId="11" w16cid:durableId="1318655368">
    <w:abstractNumId w:val="5"/>
    <w:lvlOverride w:ilvl="0">
      <w:startOverride w:val="2"/>
    </w:lvlOverride>
  </w:num>
  <w:num w:numId="12" w16cid:durableId="124395877">
    <w:abstractNumId w:val="13"/>
  </w:num>
  <w:num w:numId="13" w16cid:durableId="210771902">
    <w:abstractNumId w:val="22"/>
  </w:num>
  <w:num w:numId="14" w16cid:durableId="1932348408">
    <w:abstractNumId w:val="11"/>
  </w:num>
  <w:num w:numId="15" w16cid:durableId="735477062">
    <w:abstractNumId w:val="8"/>
  </w:num>
  <w:num w:numId="16" w16cid:durableId="742025686">
    <w:abstractNumId w:val="18"/>
  </w:num>
  <w:num w:numId="17" w16cid:durableId="988947982">
    <w:abstractNumId w:val="0"/>
  </w:num>
  <w:num w:numId="18" w16cid:durableId="436215467">
    <w:abstractNumId w:val="6"/>
  </w:num>
  <w:num w:numId="19" w16cid:durableId="1484277669">
    <w:abstractNumId w:val="19"/>
  </w:num>
  <w:num w:numId="20" w16cid:durableId="891503886">
    <w:abstractNumId w:val="4"/>
  </w:num>
  <w:num w:numId="21" w16cid:durableId="274755286">
    <w:abstractNumId w:val="16"/>
  </w:num>
  <w:num w:numId="22" w16cid:durableId="1104576148">
    <w:abstractNumId w:val="2"/>
  </w:num>
  <w:num w:numId="23" w16cid:durableId="751390537">
    <w:abstractNumId w:val="12"/>
  </w:num>
  <w:num w:numId="24" w16cid:durableId="1777627520">
    <w:abstractNumId w:val="15"/>
  </w:num>
  <w:num w:numId="25" w16cid:durableId="1529759955">
    <w:abstractNumId w:val="20"/>
  </w:num>
  <w:num w:numId="26" w16cid:durableId="188176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E7"/>
    <w:rsid w:val="00010880"/>
    <w:rsid w:val="000109E1"/>
    <w:rsid w:val="00016438"/>
    <w:rsid w:val="000308A2"/>
    <w:rsid w:val="00046FB1"/>
    <w:rsid w:val="000549B5"/>
    <w:rsid w:val="000949F4"/>
    <w:rsid w:val="00095EC9"/>
    <w:rsid w:val="000B48E4"/>
    <w:rsid w:val="000B719F"/>
    <w:rsid w:val="000C112D"/>
    <w:rsid w:val="000C1CB1"/>
    <w:rsid w:val="000C3A2E"/>
    <w:rsid w:val="000D0817"/>
    <w:rsid w:val="000D1358"/>
    <w:rsid w:val="000E13A5"/>
    <w:rsid w:val="000E4B92"/>
    <w:rsid w:val="000E774C"/>
    <w:rsid w:val="000F3241"/>
    <w:rsid w:val="00104DA7"/>
    <w:rsid w:val="00113242"/>
    <w:rsid w:val="00123C79"/>
    <w:rsid w:val="001341FE"/>
    <w:rsid w:val="00141C22"/>
    <w:rsid w:val="00157B3A"/>
    <w:rsid w:val="0016185D"/>
    <w:rsid w:val="00163BFF"/>
    <w:rsid w:val="00167776"/>
    <w:rsid w:val="001705E7"/>
    <w:rsid w:val="00184A20"/>
    <w:rsid w:val="001D3F01"/>
    <w:rsid w:val="00200025"/>
    <w:rsid w:val="00202F7C"/>
    <w:rsid w:val="00210D1B"/>
    <w:rsid w:val="002128CF"/>
    <w:rsid w:val="00214760"/>
    <w:rsid w:val="0024681A"/>
    <w:rsid w:val="002550E6"/>
    <w:rsid w:val="00257524"/>
    <w:rsid w:val="00265FCD"/>
    <w:rsid w:val="00276A30"/>
    <w:rsid w:val="00277032"/>
    <w:rsid w:val="00284310"/>
    <w:rsid w:val="00287FA0"/>
    <w:rsid w:val="00293387"/>
    <w:rsid w:val="002B0518"/>
    <w:rsid w:val="002B4114"/>
    <w:rsid w:val="002C3FE2"/>
    <w:rsid w:val="002C583B"/>
    <w:rsid w:val="002D7DEE"/>
    <w:rsid w:val="00300EFC"/>
    <w:rsid w:val="00326D8D"/>
    <w:rsid w:val="003332E7"/>
    <w:rsid w:val="00335A32"/>
    <w:rsid w:val="00336B1B"/>
    <w:rsid w:val="003378C4"/>
    <w:rsid w:val="0034052C"/>
    <w:rsid w:val="00342A0A"/>
    <w:rsid w:val="00367F83"/>
    <w:rsid w:val="00370CDD"/>
    <w:rsid w:val="00372521"/>
    <w:rsid w:val="0038719D"/>
    <w:rsid w:val="003A2A37"/>
    <w:rsid w:val="003A5748"/>
    <w:rsid w:val="003A7464"/>
    <w:rsid w:val="003B4261"/>
    <w:rsid w:val="003B5F27"/>
    <w:rsid w:val="003E2D8B"/>
    <w:rsid w:val="003E5AD5"/>
    <w:rsid w:val="003E697D"/>
    <w:rsid w:val="003F6344"/>
    <w:rsid w:val="00411E0A"/>
    <w:rsid w:val="0041214F"/>
    <w:rsid w:val="00420B72"/>
    <w:rsid w:val="00422848"/>
    <w:rsid w:val="00423E2B"/>
    <w:rsid w:val="00454086"/>
    <w:rsid w:val="00454534"/>
    <w:rsid w:val="00471052"/>
    <w:rsid w:val="0049260D"/>
    <w:rsid w:val="00497C7D"/>
    <w:rsid w:val="004A00FF"/>
    <w:rsid w:val="004A4137"/>
    <w:rsid w:val="004E1612"/>
    <w:rsid w:val="004E4660"/>
    <w:rsid w:val="004F0790"/>
    <w:rsid w:val="004F105D"/>
    <w:rsid w:val="004F4952"/>
    <w:rsid w:val="005031A9"/>
    <w:rsid w:val="00513A8B"/>
    <w:rsid w:val="00517536"/>
    <w:rsid w:val="005249AE"/>
    <w:rsid w:val="00551B1F"/>
    <w:rsid w:val="005856CE"/>
    <w:rsid w:val="00585D26"/>
    <w:rsid w:val="00587C01"/>
    <w:rsid w:val="005A764B"/>
    <w:rsid w:val="005A7A7F"/>
    <w:rsid w:val="005B4356"/>
    <w:rsid w:val="005D0544"/>
    <w:rsid w:val="005E59A2"/>
    <w:rsid w:val="005F2334"/>
    <w:rsid w:val="00617EF7"/>
    <w:rsid w:val="006214E1"/>
    <w:rsid w:val="00632305"/>
    <w:rsid w:val="00635457"/>
    <w:rsid w:val="00640551"/>
    <w:rsid w:val="00641518"/>
    <w:rsid w:val="0065640C"/>
    <w:rsid w:val="00665E32"/>
    <w:rsid w:val="0067557E"/>
    <w:rsid w:val="00683B96"/>
    <w:rsid w:val="00686B48"/>
    <w:rsid w:val="006A57F9"/>
    <w:rsid w:val="006A5E07"/>
    <w:rsid w:val="006B00E9"/>
    <w:rsid w:val="006B029A"/>
    <w:rsid w:val="006B4ACF"/>
    <w:rsid w:val="006D464E"/>
    <w:rsid w:val="006F0384"/>
    <w:rsid w:val="006F2788"/>
    <w:rsid w:val="006F3BB5"/>
    <w:rsid w:val="00701379"/>
    <w:rsid w:val="007053F0"/>
    <w:rsid w:val="00751081"/>
    <w:rsid w:val="0075750E"/>
    <w:rsid w:val="00767E02"/>
    <w:rsid w:val="00773F09"/>
    <w:rsid w:val="00780B48"/>
    <w:rsid w:val="00783EF0"/>
    <w:rsid w:val="00790041"/>
    <w:rsid w:val="00796E5C"/>
    <w:rsid w:val="007A6C51"/>
    <w:rsid w:val="007C04EC"/>
    <w:rsid w:val="007E3755"/>
    <w:rsid w:val="00803E23"/>
    <w:rsid w:val="00831C2B"/>
    <w:rsid w:val="00841BF6"/>
    <w:rsid w:val="0084206B"/>
    <w:rsid w:val="00850C3E"/>
    <w:rsid w:val="008551A3"/>
    <w:rsid w:val="0085590F"/>
    <w:rsid w:val="00857366"/>
    <w:rsid w:val="008658B1"/>
    <w:rsid w:val="008979B8"/>
    <w:rsid w:val="008A1FA5"/>
    <w:rsid w:val="008B26CC"/>
    <w:rsid w:val="008C2C77"/>
    <w:rsid w:val="008D654C"/>
    <w:rsid w:val="009128EC"/>
    <w:rsid w:val="009129D4"/>
    <w:rsid w:val="00913312"/>
    <w:rsid w:val="0091401A"/>
    <w:rsid w:val="00925C79"/>
    <w:rsid w:val="00940CE3"/>
    <w:rsid w:val="00942394"/>
    <w:rsid w:val="0095548D"/>
    <w:rsid w:val="00967B61"/>
    <w:rsid w:val="009B49AB"/>
    <w:rsid w:val="009B54EA"/>
    <w:rsid w:val="009C3105"/>
    <w:rsid w:val="009C4CD5"/>
    <w:rsid w:val="00A03BBF"/>
    <w:rsid w:val="00A05507"/>
    <w:rsid w:val="00A103CF"/>
    <w:rsid w:val="00A3510B"/>
    <w:rsid w:val="00A63747"/>
    <w:rsid w:val="00A64655"/>
    <w:rsid w:val="00A65389"/>
    <w:rsid w:val="00A92B32"/>
    <w:rsid w:val="00A93F12"/>
    <w:rsid w:val="00AA54BB"/>
    <w:rsid w:val="00AA7DBD"/>
    <w:rsid w:val="00AA7FF8"/>
    <w:rsid w:val="00AB6309"/>
    <w:rsid w:val="00AB75CB"/>
    <w:rsid w:val="00AE275D"/>
    <w:rsid w:val="00AF6B8F"/>
    <w:rsid w:val="00B037BE"/>
    <w:rsid w:val="00B12609"/>
    <w:rsid w:val="00B30C43"/>
    <w:rsid w:val="00B40CFD"/>
    <w:rsid w:val="00B44409"/>
    <w:rsid w:val="00B5330E"/>
    <w:rsid w:val="00B557E5"/>
    <w:rsid w:val="00B637A2"/>
    <w:rsid w:val="00B8375F"/>
    <w:rsid w:val="00B87F53"/>
    <w:rsid w:val="00B92A13"/>
    <w:rsid w:val="00B92D33"/>
    <w:rsid w:val="00BA0354"/>
    <w:rsid w:val="00BA2B7B"/>
    <w:rsid w:val="00BA7562"/>
    <w:rsid w:val="00BA77CE"/>
    <w:rsid w:val="00BB25D9"/>
    <w:rsid w:val="00BB25FF"/>
    <w:rsid w:val="00BB3F96"/>
    <w:rsid w:val="00BB7D04"/>
    <w:rsid w:val="00BC6BCA"/>
    <w:rsid w:val="00BE7295"/>
    <w:rsid w:val="00BE7AFD"/>
    <w:rsid w:val="00C03C70"/>
    <w:rsid w:val="00C041BB"/>
    <w:rsid w:val="00C06D8F"/>
    <w:rsid w:val="00C073D8"/>
    <w:rsid w:val="00C202E3"/>
    <w:rsid w:val="00C35502"/>
    <w:rsid w:val="00C43055"/>
    <w:rsid w:val="00C610A7"/>
    <w:rsid w:val="00C62D8B"/>
    <w:rsid w:val="00C73E2C"/>
    <w:rsid w:val="00C75D49"/>
    <w:rsid w:val="00C8525A"/>
    <w:rsid w:val="00CA5A5A"/>
    <w:rsid w:val="00CB285E"/>
    <w:rsid w:val="00CB2A2E"/>
    <w:rsid w:val="00CC2588"/>
    <w:rsid w:val="00CD7253"/>
    <w:rsid w:val="00CE2E62"/>
    <w:rsid w:val="00CE31E3"/>
    <w:rsid w:val="00CE7A61"/>
    <w:rsid w:val="00D33C17"/>
    <w:rsid w:val="00D44C48"/>
    <w:rsid w:val="00D50E6C"/>
    <w:rsid w:val="00D62546"/>
    <w:rsid w:val="00D660E7"/>
    <w:rsid w:val="00D671CE"/>
    <w:rsid w:val="00D7185B"/>
    <w:rsid w:val="00D93AC8"/>
    <w:rsid w:val="00DA00E0"/>
    <w:rsid w:val="00DB335E"/>
    <w:rsid w:val="00DB7AB2"/>
    <w:rsid w:val="00DC01E7"/>
    <w:rsid w:val="00DC149E"/>
    <w:rsid w:val="00DC2B41"/>
    <w:rsid w:val="00DD0F9F"/>
    <w:rsid w:val="00DD4ED0"/>
    <w:rsid w:val="00DD5E5D"/>
    <w:rsid w:val="00DD6362"/>
    <w:rsid w:val="00DF7158"/>
    <w:rsid w:val="00E020F5"/>
    <w:rsid w:val="00E02BB8"/>
    <w:rsid w:val="00E142C2"/>
    <w:rsid w:val="00E2547E"/>
    <w:rsid w:val="00E25D96"/>
    <w:rsid w:val="00E311B8"/>
    <w:rsid w:val="00E43F14"/>
    <w:rsid w:val="00E553C9"/>
    <w:rsid w:val="00E56727"/>
    <w:rsid w:val="00E6183D"/>
    <w:rsid w:val="00E72F74"/>
    <w:rsid w:val="00E77FE1"/>
    <w:rsid w:val="00E839D8"/>
    <w:rsid w:val="00EA5A88"/>
    <w:rsid w:val="00F17137"/>
    <w:rsid w:val="00F20151"/>
    <w:rsid w:val="00F267C2"/>
    <w:rsid w:val="00F602E0"/>
    <w:rsid w:val="00F616EE"/>
    <w:rsid w:val="00F87067"/>
    <w:rsid w:val="00F87D9D"/>
    <w:rsid w:val="00F932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FF0B9"/>
  <w15:docId w15:val="{E1E10531-965F-9347-9B5C-2EC74FFC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pPr>
      <w:suppressAutoHyphens/>
      <w:spacing w:after="160" w:line="254" w:lineRule="auto"/>
    </w:pPr>
    <w:rPr>
      <w:rFonts w:ascii="Calibri" w:eastAsia="Calibri" w:hAnsi="Calibri" w:cs="Calibri"/>
      <w:color w:val="000000"/>
      <w:sz w:val="22"/>
      <w:szCs w:val="22"/>
      <w:u w:color="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character" w:customStyle="1" w:styleId="Hyperlink0">
    <w:name w:val="Hyperlink.0"/>
    <w:basedOn w:val="NoneA"/>
    <w:rPr>
      <w:color w:val="0000FF"/>
      <w:u w:val="single" w:color="0000FF"/>
      <w:lang w:val="en-US"/>
    </w:rPr>
  </w:style>
  <w:style w:type="paragraph" w:styleId="Pis">
    <w:name w:val="header"/>
    <w:pPr>
      <w:tabs>
        <w:tab w:val="center" w:pos="4703"/>
        <w:tab w:val="right" w:pos="9406"/>
      </w:tabs>
      <w:suppressAutoHyphens/>
      <w:spacing w:after="160" w:line="254" w:lineRule="auto"/>
    </w:pPr>
    <w:rPr>
      <w:rFonts w:eastAsia="Times New Roman"/>
      <w:color w:val="000000"/>
      <w:sz w:val="24"/>
      <w:szCs w:val="24"/>
      <w:u w:color="000000"/>
      <w:lang w:val="en-US"/>
    </w:rPr>
  </w:style>
  <w:style w:type="paragraph" w:styleId="Lihttekst">
    <w:name w:val="Plain Text"/>
    <w:pPr>
      <w:suppressAutoHyphens/>
      <w:spacing w:after="160" w:line="254" w:lineRule="auto"/>
    </w:pPr>
    <w:rPr>
      <w:rFonts w:ascii="Calibri" w:eastAsia="Calibri" w:hAnsi="Calibri" w:cs="Calibri"/>
      <w:color w:val="000000"/>
      <w:sz w:val="22"/>
      <w:szCs w:val="22"/>
      <w:u w:color="000000"/>
    </w:rPr>
  </w:style>
  <w:style w:type="paragraph" w:customStyle="1" w:styleId="Default">
    <w:name w:val="Default"/>
    <w:pPr>
      <w:suppressAutoHyphens/>
      <w:spacing w:after="160" w:line="254" w:lineRule="auto"/>
    </w:pPr>
    <w:rPr>
      <w:rFonts w:ascii="Calibri" w:eastAsia="Calibri" w:hAnsi="Calibri" w:cs="Calibri"/>
      <w:color w:val="000000"/>
      <w:sz w:val="24"/>
      <w:szCs w:val="24"/>
      <w:u w:color="000000"/>
    </w:rPr>
  </w:style>
  <w:style w:type="paragraph" w:styleId="Loendilik">
    <w:name w:val="List Paragraph"/>
    <w:link w:val="LoendilikMrk"/>
    <w:uiPriority w:val="34"/>
    <w:qFormat/>
    <w:pPr>
      <w:suppressAutoHyphens/>
      <w:spacing w:after="160" w:line="254" w:lineRule="auto"/>
      <w:ind w:left="720"/>
    </w:pPr>
    <w:rPr>
      <w:rFonts w:ascii="Calibri" w:eastAsia="Calibri" w:hAnsi="Calibri" w:cs="Calibri"/>
      <w:color w:val="000000"/>
      <w:sz w:val="22"/>
      <w:szCs w:val="22"/>
      <w:u w:color="000000"/>
      <w:lang w:val="en-US"/>
    </w:rPr>
  </w:style>
  <w:style w:type="paragraph" w:customStyle="1" w:styleId="CommentText1">
    <w:name w:val="Comment Text1"/>
    <w:pPr>
      <w:suppressAutoHyphens/>
      <w:spacing w:after="160" w:line="254" w:lineRule="auto"/>
    </w:pPr>
    <w:rPr>
      <w:rFonts w:cs="Arial Unicode MS"/>
      <w:color w:val="000000"/>
      <w:u w:color="000000"/>
    </w:rPr>
  </w:style>
  <w:style w:type="paragraph" w:styleId="Jalus">
    <w:name w:val="footer"/>
    <w:basedOn w:val="Normaallaad"/>
    <w:link w:val="JalusMrk"/>
    <w:uiPriority w:val="99"/>
    <w:unhideWhenUsed/>
    <w:rsid w:val="005D0544"/>
    <w:pPr>
      <w:tabs>
        <w:tab w:val="center" w:pos="4536"/>
        <w:tab w:val="right" w:pos="9072"/>
      </w:tabs>
      <w:spacing w:after="0" w:line="240" w:lineRule="auto"/>
    </w:pPr>
  </w:style>
  <w:style w:type="character" w:customStyle="1" w:styleId="JalusMrk">
    <w:name w:val="Jalus Märk"/>
    <w:basedOn w:val="Liguvaikefont"/>
    <w:link w:val="Jalus"/>
    <w:uiPriority w:val="99"/>
    <w:rsid w:val="005D0544"/>
    <w:rPr>
      <w:rFonts w:ascii="Calibri" w:eastAsia="Calibri" w:hAnsi="Calibri" w:cs="Calibri"/>
      <w:color w:val="000000"/>
      <w:sz w:val="22"/>
      <w:szCs w:val="22"/>
      <w:u w:color="000000"/>
    </w:rPr>
  </w:style>
  <w:style w:type="paragraph" w:styleId="Vahedeta">
    <w:name w:val="No Spacing"/>
    <w:rsid w:val="00016438"/>
    <w:rPr>
      <w:rFonts w:ascii="Calibri" w:eastAsia="Calibri" w:hAnsi="Calibri" w:cs="Calibri"/>
      <w:color w:val="000000"/>
      <w:sz w:val="22"/>
      <w:szCs w:val="22"/>
      <w:u w:color="000000"/>
      <w:lang w:val="en-US" w:eastAsia="en-US"/>
    </w:rPr>
  </w:style>
  <w:style w:type="numbering" w:customStyle="1" w:styleId="ImportedStyle1">
    <w:name w:val="Imported Style 1"/>
    <w:rsid w:val="00016438"/>
    <w:pPr>
      <w:numPr>
        <w:numId w:val="1"/>
      </w:numPr>
    </w:pPr>
  </w:style>
  <w:style w:type="paragraph" w:styleId="Allmrkusetekst">
    <w:name w:val="footnote text"/>
    <w:link w:val="AllmrkusetekstMrk"/>
    <w:uiPriority w:val="99"/>
    <w:rsid w:val="00016438"/>
    <w:rPr>
      <w:rFonts w:ascii="Calibri" w:eastAsia="Calibri" w:hAnsi="Calibri" w:cs="Calibri"/>
      <w:color w:val="000000"/>
      <w:u w:color="000000"/>
      <w:lang w:val="en-US" w:eastAsia="en-US"/>
    </w:rPr>
  </w:style>
  <w:style w:type="character" w:customStyle="1" w:styleId="AllmrkusetekstMrk">
    <w:name w:val="Allmärkuse tekst Märk"/>
    <w:basedOn w:val="Liguvaikefont"/>
    <w:link w:val="Allmrkusetekst"/>
    <w:uiPriority w:val="99"/>
    <w:rsid w:val="00016438"/>
    <w:rPr>
      <w:rFonts w:ascii="Calibri" w:eastAsia="Calibri" w:hAnsi="Calibri" w:cs="Calibri"/>
      <w:color w:val="000000"/>
      <w:u w:color="000000"/>
      <w:lang w:val="en-US" w:eastAsia="en-US"/>
    </w:rPr>
  </w:style>
  <w:style w:type="numbering" w:customStyle="1" w:styleId="ImportedStyle2">
    <w:name w:val="Imported Style 2"/>
    <w:rsid w:val="00016438"/>
    <w:pPr>
      <w:numPr>
        <w:numId w:val="3"/>
      </w:numPr>
    </w:pPr>
  </w:style>
  <w:style w:type="numbering" w:customStyle="1" w:styleId="ImportedStyle3">
    <w:name w:val="Imported Style 3"/>
    <w:rsid w:val="00016438"/>
    <w:pPr>
      <w:numPr>
        <w:numId w:val="5"/>
      </w:numPr>
    </w:pPr>
  </w:style>
  <w:style w:type="numbering" w:customStyle="1" w:styleId="ImportedStyle4">
    <w:name w:val="Imported Style 4"/>
    <w:rsid w:val="00016438"/>
    <w:pPr>
      <w:numPr>
        <w:numId w:val="8"/>
      </w:numPr>
    </w:pPr>
  </w:style>
  <w:style w:type="paragraph" w:customStyle="1" w:styleId="Body">
    <w:name w:val="Body"/>
    <w:rsid w:val="00016438"/>
    <w:pPr>
      <w:spacing w:after="200" w:line="276" w:lineRule="auto"/>
    </w:pPr>
    <w:rPr>
      <w:rFonts w:ascii="Calibri" w:eastAsia="Calibri" w:hAnsi="Calibri" w:cs="Calibri"/>
      <w:color w:val="000000"/>
      <w:sz w:val="22"/>
      <w:szCs w:val="22"/>
      <w:u w:color="000000"/>
      <w:lang w:val="en-US" w:eastAsia="en-US"/>
    </w:rPr>
  </w:style>
  <w:style w:type="paragraph" w:styleId="Jutumullitekst">
    <w:name w:val="Balloon Text"/>
    <w:basedOn w:val="Normaallaad"/>
    <w:link w:val="JutumullitekstMrk"/>
    <w:uiPriority w:val="99"/>
    <w:semiHidden/>
    <w:unhideWhenUsed/>
    <w:rsid w:val="008C2C7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C2C77"/>
    <w:rPr>
      <w:rFonts w:ascii="Tahoma" w:eastAsia="Calibri" w:hAnsi="Tahoma" w:cs="Tahoma"/>
      <w:color w:val="000000"/>
      <w:sz w:val="16"/>
      <w:szCs w:val="16"/>
      <w:u w:color="000000"/>
    </w:rPr>
  </w:style>
  <w:style w:type="table" w:customStyle="1" w:styleId="TableNormal2">
    <w:name w:val="Table Normal2"/>
    <w:rsid w:val="00A05507"/>
    <w:tblPr>
      <w:tblInd w:w="0" w:type="dxa"/>
      <w:tblCellMar>
        <w:top w:w="0" w:type="dxa"/>
        <w:left w:w="0" w:type="dxa"/>
        <w:bottom w:w="0" w:type="dxa"/>
        <w:right w:w="0" w:type="dxa"/>
      </w:tblCellMar>
    </w:tblPr>
  </w:style>
  <w:style w:type="character" w:styleId="Allmrkuseviide">
    <w:name w:val="footnote reference"/>
    <w:basedOn w:val="Liguvaikefont"/>
    <w:uiPriority w:val="99"/>
    <w:unhideWhenUsed/>
    <w:rsid w:val="00CD7253"/>
    <w:rPr>
      <w:vertAlign w:val="superscript"/>
    </w:rPr>
  </w:style>
  <w:style w:type="character" w:styleId="Kommentaariviide">
    <w:name w:val="annotation reference"/>
    <w:basedOn w:val="Liguvaikefont"/>
    <w:uiPriority w:val="99"/>
    <w:semiHidden/>
    <w:unhideWhenUsed/>
    <w:rsid w:val="007A6C51"/>
    <w:rPr>
      <w:sz w:val="16"/>
      <w:szCs w:val="16"/>
    </w:rPr>
  </w:style>
  <w:style w:type="paragraph" w:styleId="Kommentaaritekst">
    <w:name w:val="annotation text"/>
    <w:basedOn w:val="Normaallaad"/>
    <w:link w:val="KommentaaritekstMrk"/>
    <w:uiPriority w:val="99"/>
    <w:semiHidden/>
    <w:unhideWhenUsed/>
    <w:rsid w:val="007A6C5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A6C51"/>
    <w:rPr>
      <w:rFonts w:ascii="Calibri" w:eastAsia="Calibri" w:hAnsi="Calibri" w:cs="Calibri"/>
      <w:color w:val="000000"/>
      <w:u w:color="000000"/>
    </w:rPr>
  </w:style>
  <w:style w:type="paragraph" w:styleId="Kommentaariteema">
    <w:name w:val="annotation subject"/>
    <w:basedOn w:val="Kommentaaritekst"/>
    <w:next w:val="Kommentaaritekst"/>
    <w:link w:val="KommentaariteemaMrk"/>
    <w:uiPriority w:val="99"/>
    <w:semiHidden/>
    <w:unhideWhenUsed/>
    <w:rsid w:val="007A6C51"/>
    <w:rPr>
      <w:b/>
      <w:bCs/>
    </w:rPr>
  </w:style>
  <w:style w:type="character" w:customStyle="1" w:styleId="KommentaariteemaMrk">
    <w:name w:val="Kommentaari teema Märk"/>
    <w:basedOn w:val="KommentaaritekstMrk"/>
    <w:link w:val="Kommentaariteema"/>
    <w:uiPriority w:val="99"/>
    <w:semiHidden/>
    <w:rsid w:val="007A6C51"/>
    <w:rPr>
      <w:rFonts w:ascii="Calibri" w:eastAsia="Calibri" w:hAnsi="Calibri" w:cs="Calibri"/>
      <w:b/>
      <w:bCs/>
      <w:color w:val="000000"/>
      <w:u w:color="000000"/>
    </w:rPr>
  </w:style>
  <w:style w:type="character" w:customStyle="1" w:styleId="UnresolvedMention1">
    <w:name w:val="Unresolved Mention1"/>
    <w:basedOn w:val="Liguvaikefont"/>
    <w:uiPriority w:val="99"/>
    <w:semiHidden/>
    <w:unhideWhenUsed/>
    <w:rsid w:val="00E839D8"/>
    <w:rPr>
      <w:color w:val="605E5C"/>
      <w:shd w:val="clear" w:color="auto" w:fill="E1DFDD"/>
    </w:rPr>
  </w:style>
  <w:style w:type="character" w:styleId="Lahendamatamainimine">
    <w:name w:val="Unresolved Mention"/>
    <w:basedOn w:val="Liguvaikefont"/>
    <w:uiPriority w:val="99"/>
    <w:semiHidden/>
    <w:unhideWhenUsed/>
    <w:rsid w:val="00850C3E"/>
    <w:rPr>
      <w:color w:val="605E5C"/>
      <w:shd w:val="clear" w:color="auto" w:fill="E1DFDD"/>
    </w:rPr>
  </w:style>
  <w:style w:type="table" w:styleId="Kontuurtabel">
    <w:name w:val="Table Grid"/>
    <w:basedOn w:val="Normaaltabel"/>
    <w:uiPriority w:val="39"/>
    <w:rsid w:val="00F17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endilikMrk">
    <w:name w:val="Loendi lõik Märk"/>
    <w:link w:val="Loendilik"/>
    <w:uiPriority w:val="34"/>
    <w:locked/>
    <w:rsid w:val="000B48E4"/>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1171">
      <w:bodyDiv w:val="1"/>
      <w:marLeft w:val="0"/>
      <w:marRight w:val="0"/>
      <w:marTop w:val="0"/>
      <w:marBottom w:val="0"/>
      <w:divBdr>
        <w:top w:val="none" w:sz="0" w:space="0" w:color="auto"/>
        <w:left w:val="none" w:sz="0" w:space="0" w:color="auto"/>
        <w:bottom w:val="none" w:sz="0" w:space="0" w:color="auto"/>
        <w:right w:val="none" w:sz="0" w:space="0" w:color="auto"/>
      </w:divBdr>
      <w:divsChild>
        <w:div w:id="1283146316">
          <w:marLeft w:val="720"/>
          <w:marRight w:val="0"/>
          <w:marTop w:val="0"/>
          <w:marBottom w:val="0"/>
          <w:divBdr>
            <w:top w:val="none" w:sz="0" w:space="0" w:color="auto"/>
            <w:left w:val="none" w:sz="0" w:space="0" w:color="auto"/>
            <w:bottom w:val="none" w:sz="0" w:space="0" w:color="auto"/>
            <w:right w:val="none" w:sz="0" w:space="0" w:color="auto"/>
          </w:divBdr>
        </w:div>
      </w:divsChild>
    </w:div>
    <w:div w:id="271404922">
      <w:bodyDiv w:val="1"/>
      <w:marLeft w:val="0"/>
      <w:marRight w:val="0"/>
      <w:marTop w:val="0"/>
      <w:marBottom w:val="0"/>
      <w:divBdr>
        <w:top w:val="none" w:sz="0" w:space="0" w:color="auto"/>
        <w:left w:val="none" w:sz="0" w:space="0" w:color="auto"/>
        <w:bottom w:val="none" w:sz="0" w:space="0" w:color="auto"/>
        <w:right w:val="none" w:sz="0" w:space="0" w:color="auto"/>
      </w:divBdr>
    </w:div>
    <w:div w:id="318190106">
      <w:bodyDiv w:val="1"/>
      <w:marLeft w:val="0"/>
      <w:marRight w:val="0"/>
      <w:marTop w:val="0"/>
      <w:marBottom w:val="0"/>
      <w:divBdr>
        <w:top w:val="none" w:sz="0" w:space="0" w:color="auto"/>
        <w:left w:val="none" w:sz="0" w:space="0" w:color="auto"/>
        <w:bottom w:val="none" w:sz="0" w:space="0" w:color="auto"/>
        <w:right w:val="none" w:sz="0" w:space="0" w:color="auto"/>
      </w:divBdr>
    </w:div>
    <w:div w:id="355544464">
      <w:bodyDiv w:val="1"/>
      <w:marLeft w:val="0"/>
      <w:marRight w:val="0"/>
      <w:marTop w:val="0"/>
      <w:marBottom w:val="0"/>
      <w:divBdr>
        <w:top w:val="none" w:sz="0" w:space="0" w:color="auto"/>
        <w:left w:val="none" w:sz="0" w:space="0" w:color="auto"/>
        <w:bottom w:val="none" w:sz="0" w:space="0" w:color="auto"/>
        <w:right w:val="none" w:sz="0" w:space="0" w:color="auto"/>
      </w:divBdr>
    </w:div>
    <w:div w:id="358748746">
      <w:bodyDiv w:val="1"/>
      <w:marLeft w:val="0"/>
      <w:marRight w:val="0"/>
      <w:marTop w:val="0"/>
      <w:marBottom w:val="0"/>
      <w:divBdr>
        <w:top w:val="none" w:sz="0" w:space="0" w:color="auto"/>
        <w:left w:val="none" w:sz="0" w:space="0" w:color="auto"/>
        <w:bottom w:val="none" w:sz="0" w:space="0" w:color="auto"/>
        <w:right w:val="none" w:sz="0" w:space="0" w:color="auto"/>
      </w:divBdr>
    </w:div>
    <w:div w:id="727386358">
      <w:bodyDiv w:val="1"/>
      <w:marLeft w:val="0"/>
      <w:marRight w:val="0"/>
      <w:marTop w:val="0"/>
      <w:marBottom w:val="0"/>
      <w:divBdr>
        <w:top w:val="none" w:sz="0" w:space="0" w:color="auto"/>
        <w:left w:val="none" w:sz="0" w:space="0" w:color="auto"/>
        <w:bottom w:val="none" w:sz="0" w:space="0" w:color="auto"/>
        <w:right w:val="none" w:sz="0" w:space="0" w:color="auto"/>
      </w:divBdr>
    </w:div>
    <w:div w:id="807892839">
      <w:bodyDiv w:val="1"/>
      <w:marLeft w:val="0"/>
      <w:marRight w:val="0"/>
      <w:marTop w:val="0"/>
      <w:marBottom w:val="0"/>
      <w:divBdr>
        <w:top w:val="none" w:sz="0" w:space="0" w:color="auto"/>
        <w:left w:val="none" w:sz="0" w:space="0" w:color="auto"/>
        <w:bottom w:val="none" w:sz="0" w:space="0" w:color="auto"/>
        <w:right w:val="none" w:sz="0" w:space="0" w:color="auto"/>
      </w:divBdr>
    </w:div>
    <w:div w:id="11792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tk.ee/en/news/clinic-medical-rehabilitation-celebrates-10th-anniversary-confere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otografiska.com/tallinn/en/ruumid/i-korruse-saa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B1FC-5A25-4949-A6CB-21F72886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3426</Characters>
  <Application>Microsoft Office Word</Application>
  <DocSecurity>0</DocSecurity>
  <Lines>28</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Piret Ehavald</dc:creator>
  <cp:lastModifiedBy>Ravimitootjate Liit</cp:lastModifiedBy>
  <cp:revision>5</cp:revision>
  <cp:lastPrinted>2017-03-06T10:39:00Z</cp:lastPrinted>
  <dcterms:created xsi:type="dcterms:W3CDTF">2023-04-11T06:42:00Z</dcterms:created>
  <dcterms:modified xsi:type="dcterms:W3CDTF">2023-04-11T14:07:00Z</dcterms:modified>
</cp:coreProperties>
</file>