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E23B" w14:textId="77777777" w:rsidR="00B875F7" w:rsidRPr="00B875F7" w:rsidRDefault="007F667F" w:rsidP="00B875F7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drawing>
          <wp:inline distT="0" distB="0" distL="0" distR="0" wp14:anchorId="615E4221" wp14:editId="781BD928">
            <wp:extent cx="54102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8BF70" w14:textId="77777777" w:rsidR="00B875F7" w:rsidRPr="00B875F7" w:rsidRDefault="00B875F7" w:rsidP="00B875F7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4E74E289" w14:textId="77777777" w:rsidR="007F667F" w:rsidRDefault="007F667F" w:rsidP="00B875F7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14:paraId="75237A1B" w14:textId="77777777" w:rsidR="007F667F" w:rsidRDefault="007F667F" w:rsidP="00B875F7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14:paraId="6D1063EE" w14:textId="45368CD5" w:rsidR="007F667F" w:rsidRDefault="007F667F" w:rsidP="00B875F7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REK </w:t>
      </w:r>
      <w:r w:rsidR="00AB4FD0">
        <w:rPr>
          <w:b/>
          <w:bCs/>
          <w:sz w:val="24"/>
          <w:szCs w:val="24"/>
        </w:rPr>
        <w:t xml:space="preserve">KOOSOLEKU </w:t>
      </w:r>
      <w:r w:rsidR="00CB5A83">
        <w:rPr>
          <w:b/>
          <w:bCs/>
          <w:sz w:val="24"/>
          <w:szCs w:val="24"/>
        </w:rPr>
        <w:t>VÄLJAVÕTE</w:t>
      </w:r>
    </w:p>
    <w:p w14:paraId="28D680B2" w14:textId="77777777" w:rsidR="007F667F" w:rsidRPr="00AB4FD0" w:rsidRDefault="007F667F" w:rsidP="00B875F7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439DE910" w14:textId="77777777" w:rsidR="00313049" w:rsidRPr="00AB4FD0" w:rsidRDefault="00313049" w:rsidP="00B875F7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67DA0987" w14:textId="2D1FE0BA" w:rsidR="00BD0184" w:rsidRPr="00365D0B" w:rsidRDefault="00365D0B" w:rsidP="00313049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365D0B">
        <w:rPr>
          <w:b/>
          <w:bCs/>
          <w:sz w:val="24"/>
          <w:szCs w:val="24"/>
        </w:rPr>
        <w:t>1.</w:t>
      </w:r>
      <w:r w:rsidRPr="00365D0B">
        <w:rPr>
          <w:b/>
          <w:bCs/>
          <w:sz w:val="24"/>
          <w:szCs w:val="24"/>
        </w:rPr>
        <w:tab/>
        <w:t>Küsimus ürituste ja külalislahkuse teemal</w:t>
      </w:r>
    </w:p>
    <w:p w14:paraId="000DC925" w14:textId="77777777" w:rsidR="00365D0B" w:rsidRPr="00365D0B" w:rsidRDefault="00365D0B" w:rsidP="00B875F7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5507BCE" w14:textId="69913424" w:rsidR="0049451F" w:rsidRDefault="008218D2" w:rsidP="00B875F7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Ravimitootjate Liidu eetikakomiteele </w:t>
      </w:r>
      <w:r w:rsidR="0049451F">
        <w:rPr>
          <w:sz w:val="24"/>
          <w:szCs w:val="24"/>
        </w:rPr>
        <w:t xml:space="preserve">(REK) </w:t>
      </w:r>
      <w:r>
        <w:rPr>
          <w:sz w:val="24"/>
          <w:szCs w:val="24"/>
        </w:rPr>
        <w:t xml:space="preserve">saabus küsimus </w:t>
      </w:r>
      <w:r w:rsidR="00A40B22">
        <w:rPr>
          <w:sz w:val="24"/>
          <w:szCs w:val="24"/>
        </w:rPr>
        <w:t>olukor</w:t>
      </w:r>
      <w:r w:rsidR="00370B30">
        <w:rPr>
          <w:sz w:val="24"/>
          <w:szCs w:val="24"/>
        </w:rPr>
        <w:t>ra</w:t>
      </w:r>
      <w:r w:rsidR="00A40B22">
        <w:rPr>
          <w:sz w:val="24"/>
          <w:szCs w:val="24"/>
        </w:rPr>
        <w:t xml:space="preserve"> k</w:t>
      </w:r>
      <w:r w:rsidR="008B2B78">
        <w:rPr>
          <w:sz w:val="24"/>
          <w:szCs w:val="24"/>
        </w:rPr>
        <w:t>o</w:t>
      </w:r>
      <w:r w:rsidR="00A40B22">
        <w:rPr>
          <w:sz w:val="24"/>
          <w:szCs w:val="24"/>
        </w:rPr>
        <w:t xml:space="preserve">hta, </w:t>
      </w:r>
      <w:r w:rsidR="00836E38">
        <w:rPr>
          <w:sz w:val="24"/>
          <w:szCs w:val="24"/>
        </w:rPr>
        <w:t>kus</w:t>
      </w:r>
      <w:r w:rsidR="00A40B22">
        <w:rPr>
          <w:sz w:val="24"/>
          <w:szCs w:val="24"/>
        </w:rPr>
        <w:t xml:space="preserve"> </w:t>
      </w:r>
      <w:r w:rsidR="00370B30">
        <w:rPr>
          <w:sz w:val="24"/>
          <w:szCs w:val="24"/>
        </w:rPr>
        <w:t xml:space="preserve">ravimifirma kaalub </w:t>
      </w:r>
      <w:r w:rsidR="00370B30" w:rsidRPr="00370B30">
        <w:rPr>
          <w:sz w:val="24"/>
          <w:szCs w:val="24"/>
        </w:rPr>
        <w:t xml:space="preserve">võimalust </w:t>
      </w:r>
      <w:r w:rsidR="00560247">
        <w:rPr>
          <w:sz w:val="24"/>
          <w:szCs w:val="24"/>
        </w:rPr>
        <w:t>toetada</w:t>
      </w:r>
      <w:r w:rsidR="00370B30" w:rsidRPr="00370B30">
        <w:rPr>
          <w:sz w:val="24"/>
          <w:szCs w:val="24"/>
        </w:rPr>
        <w:t xml:space="preserve"> </w:t>
      </w:r>
      <w:r w:rsidR="00370B30">
        <w:rPr>
          <w:sz w:val="24"/>
          <w:szCs w:val="24"/>
        </w:rPr>
        <w:t xml:space="preserve">(registreerimistasu, reisi- ja majutuskulud) </w:t>
      </w:r>
      <w:r w:rsidR="00560247">
        <w:rPr>
          <w:sz w:val="24"/>
          <w:szCs w:val="24"/>
        </w:rPr>
        <w:t>tervishoiutöötaja</w:t>
      </w:r>
      <w:r w:rsidR="00370B30">
        <w:rPr>
          <w:sz w:val="24"/>
          <w:szCs w:val="24"/>
        </w:rPr>
        <w:t xml:space="preserve"> osalemis</w:t>
      </w:r>
      <w:r w:rsidR="006421F5">
        <w:rPr>
          <w:sz w:val="24"/>
          <w:szCs w:val="24"/>
        </w:rPr>
        <w:t>t</w:t>
      </w:r>
      <w:r w:rsidR="00370B30">
        <w:rPr>
          <w:sz w:val="24"/>
          <w:szCs w:val="24"/>
        </w:rPr>
        <w:t xml:space="preserve"> </w:t>
      </w:r>
      <w:r w:rsidR="00370B30" w:rsidRPr="00370B30">
        <w:rPr>
          <w:sz w:val="24"/>
          <w:szCs w:val="24"/>
        </w:rPr>
        <w:t xml:space="preserve">kolmanda osapoole </w:t>
      </w:r>
      <w:r w:rsidR="00560247">
        <w:rPr>
          <w:sz w:val="24"/>
          <w:szCs w:val="24"/>
        </w:rPr>
        <w:t xml:space="preserve">(erialaorganisatsiooni) </w:t>
      </w:r>
      <w:r w:rsidR="00370B30">
        <w:rPr>
          <w:sz w:val="24"/>
          <w:szCs w:val="24"/>
        </w:rPr>
        <w:t>korraldatud teadus</w:t>
      </w:r>
      <w:r w:rsidR="00560247">
        <w:rPr>
          <w:sz w:val="24"/>
          <w:szCs w:val="24"/>
        </w:rPr>
        <w:t xml:space="preserve">likul </w:t>
      </w:r>
      <w:r w:rsidR="00370B30">
        <w:rPr>
          <w:sz w:val="24"/>
          <w:szCs w:val="24"/>
        </w:rPr>
        <w:t>üritusel</w:t>
      </w:r>
      <w:r w:rsidR="00560247">
        <w:rPr>
          <w:sz w:val="24"/>
          <w:szCs w:val="24"/>
        </w:rPr>
        <w:t xml:space="preserve"> USAs</w:t>
      </w:r>
      <w:r w:rsidR="00370B30">
        <w:rPr>
          <w:sz w:val="24"/>
          <w:szCs w:val="24"/>
        </w:rPr>
        <w:t xml:space="preserve">, </w:t>
      </w:r>
      <w:r w:rsidR="00560247">
        <w:rPr>
          <w:sz w:val="24"/>
          <w:szCs w:val="24"/>
        </w:rPr>
        <w:t>ent</w:t>
      </w:r>
      <w:r w:rsidR="00370B30">
        <w:rPr>
          <w:sz w:val="24"/>
          <w:szCs w:val="24"/>
        </w:rPr>
        <w:t xml:space="preserve"> teadusürituse registreerimistasu </w:t>
      </w:r>
      <w:r w:rsidR="006421F5">
        <w:rPr>
          <w:sz w:val="24"/>
          <w:szCs w:val="24"/>
        </w:rPr>
        <w:t xml:space="preserve">sisaldab </w:t>
      </w:r>
      <w:r w:rsidR="00370B30">
        <w:rPr>
          <w:sz w:val="24"/>
          <w:szCs w:val="24"/>
        </w:rPr>
        <w:t>programmis ettenähtud</w:t>
      </w:r>
      <w:r w:rsidR="00560247">
        <w:rPr>
          <w:sz w:val="24"/>
          <w:szCs w:val="24"/>
        </w:rPr>
        <w:t xml:space="preserve"> „</w:t>
      </w:r>
      <w:r w:rsidR="005A77D7" w:rsidRPr="005A77D7">
        <w:rPr>
          <w:sz w:val="24"/>
          <w:szCs w:val="24"/>
        </w:rPr>
        <w:t>taaskohtumise koosviibi</w:t>
      </w:r>
      <w:r w:rsidR="00F64175">
        <w:rPr>
          <w:sz w:val="24"/>
          <w:szCs w:val="24"/>
        </w:rPr>
        <w:t>misel</w:t>
      </w:r>
      <w:r w:rsidR="00560247">
        <w:rPr>
          <w:sz w:val="24"/>
          <w:szCs w:val="24"/>
        </w:rPr>
        <w:t>“</w:t>
      </w:r>
      <w:r w:rsidR="001F74A1">
        <w:rPr>
          <w:sz w:val="24"/>
          <w:szCs w:val="24"/>
        </w:rPr>
        <w:t xml:space="preserve"> osalemis</w:t>
      </w:r>
      <w:r w:rsidR="001D18CE">
        <w:rPr>
          <w:sz w:val="24"/>
          <w:szCs w:val="24"/>
        </w:rPr>
        <w:t>e võimalust</w:t>
      </w:r>
      <w:r w:rsidR="006421F5">
        <w:rPr>
          <w:sz w:val="24"/>
          <w:szCs w:val="24"/>
        </w:rPr>
        <w:t xml:space="preserve"> ning </w:t>
      </w:r>
      <w:r w:rsidR="00560247">
        <w:rPr>
          <w:sz w:val="24"/>
          <w:szCs w:val="24"/>
        </w:rPr>
        <w:t>see</w:t>
      </w:r>
      <w:r w:rsidR="006421F5">
        <w:rPr>
          <w:sz w:val="24"/>
          <w:szCs w:val="24"/>
        </w:rPr>
        <w:t xml:space="preserve"> on programmi lahutamatu osa.</w:t>
      </w:r>
      <w:r w:rsidR="00560247">
        <w:rPr>
          <w:sz w:val="24"/>
          <w:szCs w:val="24"/>
        </w:rPr>
        <w:t xml:space="preserve"> Kõnealuse „taaskohtumise </w:t>
      </w:r>
      <w:r w:rsidR="005A77D7" w:rsidRPr="005A77D7">
        <w:rPr>
          <w:sz w:val="24"/>
          <w:szCs w:val="24"/>
        </w:rPr>
        <w:t>koosviibimi</w:t>
      </w:r>
      <w:r w:rsidR="005A77D7">
        <w:rPr>
          <w:sz w:val="24"/>
          <w:szCs w:val="24"/>
        </w:rPr>
        <w:t>se</w:t>
      </w:r>
      <w:r w:rsidR="00F64175">
        <w:rPr>
          <w:sz w:val="24"/>
          <w:szCs w:val="24"/>
        </w:rPr>
        <w:t>“</w:t>
      </w:r>
      <w:r w:rsidR="005A77D7">
        <w:rPr>
          <w:sz w:val="24"/>
          <w:szCs w:val="24"/>
        </w:rPr>
        <w:t xml:space="preserve"> </w:t>
      </w:r>
      <w:r w:rsidR="00560247">
        <w:rPr>
          <w:sz w:val="24"/>
          <w:szCs w:val="24"/>
        </w:rPr>
        <w:t xml:space="preserve">toimumiskohta / kohti saab tõenäoliselt pidada ekstravagantseks (nt muuseum), ent puudub otsene indikatsioon, kas ja millisel määral pakutakse seal meelelahutust ja / või toitlustust.  </w:t>
      </w:r>
    </w:p>
    <w:p w14:paraId="5D50128C" w14:textId="77777777" w:rsidR="001F74A1" w:rsidRDefault="001F74A1" w:rsidP="00B875F7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78434783" w14:textId="083A0D26" w:rsidR="00B1754C" w:rsidRDefault="00B1754C" w:rsidP="00B875F7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 arutas küsimust oma </w:t>
      </w:r>
      <w:r w:rsidR="001F74A1">
        <w:rPr>
          <w:sz w:val="24"/>
          <w:szCs w:val="24"/>
        </w:rPr>
        <w:t xml:space="preserve">01.03.2022 koosolekul. </w:t>
      </w:r>
    </w:p>
    <w:p w14:paraId="36171BBC" w14:textId="77777777" w:rsidR="001F74A1" w:rsidRDefault="001F74A1" w:rsidP="00B875F7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7CF9846F" w14:textId="0E978A17" w:rsidR="0049451F" w:rsidRPr="0049451F" w:rsidRDefault="0049451F" w:rsidP="0049451F">
      <w:pPr>
        <w:spacing w:after="0" w:line="240" w:lineRule="auto"/>
        <w:contextualSpacing/>
        <w:jc w:val="both"/>
        <w:rPr>
          <w:sz w:val="24"/>
          <w:szCs w:val="24"/>
        </w:rPr>
      </w:pPr>
      <w:r w:rsidRPr="0049451F">
        <w:rPr>
          <w:sz w:val="24"/>
          <w:szCs w:val="24"/>
        </w:rPr>
        <w:t xml:space="preserve">RTL </w:t>
      </w:r>
      <w:r w:rsidR="00302E51">
        <w:rPr>
          <w:sz w:val="24"/>
          <w:szCs w:val="24"/>
        </w:rPr>
        <w:t>eetika</w:t>
      </w:r>
      <w:r w:rsidRPr="0049451F">
        <w:rPr>
          <w:sz w:val="24"/>
          <w:szCs w:val="24"/>
        </w:rPr>
        <w:t xml:space="preserve">koodeksi </w:t>
      </w:r>
      <w:r w:rsidR="004D2617">
        <w:rPr>
          <w:sz w:val="24"/>
          <w:szCs w:val="24"/>
        </w:rPr>
        <w:t>artiklis</w:t>
      </w:r>
      <w:r w:rsidRPr="0049451F">
        <w:rPr>
          <w:sz w:val="24"/>
          <w:szCs w:val="24"/>
        </w:rPr>
        <w:t xml:space="preserve"> 10</w:t>
      </w:r>
      <w:r w:rsidR="004D2617">
        <w:rPr>
          <w:sz w:val="24"/>
          <w:szCs w:val="24"/>
        </w:rPr>
        <w:t xml:space="preserve"> käsitletakse reegleid ürituste korraldamisele. Lubatud on</w:t>
      </w:r>
      <w:r w:rsidRPr="0049451F">
        <w:rPr>
          <w:sz w:val="24"/>
          <w:szCs w:val="24"/>
        </w:rPr>
        <w:t xml:space="preserve"> mõistlikul tasemel külalislahkuse pakkumise üritustel osalejatele, järgides viidatud</w:t>
      </w:r>
      <w:r w:rsidR="00560247">
        <w:rPr>
          <w:sz w:val="24"/>
          <w:szCs w:val="24"/>
        </w:rPr>
        <w:t xml:space="preserve"> </w:t>
      </w:r>
      <w:r w:rsidR="004D2617">
        <w:rPr>
          <w:sz w:val="24"/>
          <w:szCs w:val="24"/>
        </w:rPr>
        <w:t>artiklis</w:t>
      </w:r>
      <w:r w:rsidR="00560247">
        <w:rPr>
          <w:sz w:val="24"/>
          <w:szCs w:val="24"/>
        </w:rPr>
        <w:t xml:space="preserve"> sätestatud tingimusi – eelkõige, et </w:t>
      </w:r>
      <w:r w:rsidR="00560247" w:rsidRPr="0049451F">
        <w:rPr>
          <w:sz w:val="24"/>
          <w:szCs w:val="24"/>
        </w:rPr>
        <w:t xml:space="preserve">toitlustus </w:t>
      </w:r>
      <w:r w:rsidR="00560247">
        <w:rPr>
          <w:sz w:val="24"/>
          <w:szCs w:val="24"/>
        </w:rPr>
        <w:t>on</w:t>
      </w:r>
      <w:r w:rsidR="00560247" w:rsidRPr="0049451F">
        <w:rPr>
          <w:sz w:val="24"/>
          <w:szCs w:val="24"/>
        </w:rPr>
        <w:t xml:space="preserve"> mõistlik ja ürituse teaduslikku sisu arvestades selgelt teisejärgulise loomu ja osakaaluga.</w:t>
      </w:r>
      <w:r w:rsidR="00560247">
        <w:rPr>
          <w:sz w:val="24"/>
          <w:szCs w:val="24"/>
        </w:rPr>
        <w:t xml:space="preserve"> </w:t>
      </w:r>
      <w:r w:rsidR="00762EDD">
        <w:rPr>
          <w:sz w:val="24"/>
          <w:szCs w:val="24"/>
        </w:rPr>
        <w:t>Keelatud on liik</w:t>
      </w:r>
      <w:r w:rsidR="00560247" w:rsidRPr="00560247">
        <w:rPr>
          <w:sz w:val="24"/>
          <w:szCs w:val="24"/>
        </w:rPr>
        <w:t>mesfirma poolt meelelahutuse (nt spordi-, kultuuri ja vabaajaürituste) pakkumine, spondeerimine või korraldamine nii eraldi kui mis tahes muu ürituse osana.</w:t>
      </w:r>
    </w:p>
    <w:p w14:paraId="0B5AA477" w14:textId="77777777" w:rsidR="0049451F" w:rsidRPr="0049451F" w:rsidRDefault="0049451F" w:rsidP="0049451F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2F6432BD" w14:textId="2AF92E47" w:rsidR="0049451F" w:rsidRPr="0049451F" w:rsidRDefault="0049451F" w:rsidP="0049451F">
      <w:pPr>
        <w:spacing w:after="0" w:line="240" w:lineRule="auto"/>
        <w:contextualSpacing/>
        <w:jc w:val="both"/>
        <w:rPr>
          <w:sz w:val="24"/>
          <w:szCs w:val="24"/>
        </w:rPr>
      </w:pPr>
      <w:r w:rsidRPr="0049451F">
        <w:rPr>
          <w:sz w:val="24"/>
          <w:szCs w:val="24"/>
        </w:rPr>
        <w:t>RTL koodeks defineerib</w:t>
      </w:r>
      <w:r w:rsidR="004D2617">
        <w:rPr>
          <w:sz w:val="24"/>
          <w:szCs w:val="24"/>
        </w:rPr>
        <w:t xml:space="preserve"> aga</w:t>
      </w:r>
      <w:r w:rsidRPr="0049451F">
        <w:rPr>
          <w:sz w:val="24"/>
          <w:szCs w:val="24"/>
        </w:rPr>
        <w:t xml:space="preserve"> „üritused“ kui kõik erialased, müügiedenduslikud, teaduslikud või hariduslikud koosolekud, kongressid, konverentsid, sümpoosionid ja muud taolised üritused (sealhulgas, kuid mitte ainult, nõuandva kogu koosolekud, teadus- ja tootmisasutuste külastused, kliiniliste ja mitteinterventsionaalsete uuringute planeerimis-, koolitus- ja uurijakoosolekud), </w:t>
      </w:r>
      <w:r w:rsidRPr="00560247">
        <w:rPr>
          <w:sz w:val="24"/>
          <w:szCs w:val="24"/>
          <w:u w:val="single"/>
        </w:rPr>
        <w:t>mis on korraldatud või spondeeritud liikmesfirma poolt või nimel</w:t>
      </w:r>
      <w:r w:rsidRPr="0049451F">
        <w:rPr>
          <w:sz w:val="24"/>
          <w:szCs w:val="24"/>
        </w:rPr>
        <w:t>.</w:t>
      </w:r>
    </w:p>
    <w:p w14:paraId="3D686932" w14:textId="3746F08A" w:rsidR="006421F5" w:rsidRDefault="006421F5" w:rsidP="0049451F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20A01C26" w14:textId="404FC857" w:rsidR="006421F5" w:rsidRPr="00243671" w:rsidRDefault="00243671" w:rsidP="0049451F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243671">
        <w:rPr>
          <w:b/>
          <w:sz w:val="24"/>
          <w:szCs w:val="24"/>
        </w:rPr>
        <w:t>REK otsus:</w:t>
      </w:r>
    </w:p>
    <w:p w14:paraId="4FC57B42" w14:textId="77777777" w:rsidR="00243671" w:rsidRDefault="00243671" w:rsidP="0049451F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483B34A8" w14:textId="5642244F" w:rsidR="006421F5" w:rsidRDefault="008B28D6" w:rsidP="006421F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Juhul, kui tegemist ei ole ravimitootja enda korraldatud või sponsoreeritud üritusega, vaid ravimitootja </w:t>
      </w:r>
      <w:r w:rsidR="004D2617">
        <w:rPr>
          <w:sz w:val="24"/>
          <w:szCs w:val="24"/>
        </w:rPr>
        <w:t>toetab tervishoiutöötaja</w:t>
      </w:r>
      <w:r>
        <w:rPr>
          <w:sz w:val="24"/>
          <w:szCs w:val="24"/>
        </w:rPr>
        <w:t xml:space="preserve"> osalemist kolmanda osapoole </w:t>
      </w:r>
      <w:r w:rsidR="004D2617">
        <w:rPr>
          <w:sz w:val="24"/>
          <w:szCs w:val="24"/>
        </w:rPr>
        <w:t xml:space="preserve">(erialaorganisatsiooni) </w:t>
      </w:r>
      <w:r>
        <w:rPr>
          <w:sz w:val="24"/>
          <w:szCs w:val="24"/>
        </w:rPr>
        <w:t>korraldatud</w:t>
      </w:r>
      <w:r w:rsidR="004D2617">
        <w:rPr>
          <w:sz w:val="24"/>
          <w:szCs w:val="24"/>
        </w:rPr>
        <w:t xml:space="preserve"> teaduslikul</w:t>
      </w:r>
      <w:r>
        <w:rPr>
          <w:sz w:val="24"/>
          <w:szCs w:val="24"/>
        </w:rPr>
        <w:t xml:space="preserve"> üritusel, siis </w:t>
      </w:r>
      <w:r w:rsidR="004D2617">
        <w:rPr>
          <w:sz w:val="24"/>
          <w:szCs w:val="24"/>
        </w:rPr>
        <w:t>ei ole tegemist „üritusega“, millele rakendu</w:t>
      </w:r>
      <w:r w:rsidR="00234BA8">
        <w:rPr>
          <w:sz w:val="24"/>
          <w:szCs w:val="24"/>
        </w:rPr>
        <w:t>b</w:t>
      </w:r>
      <w:r>
        <w:rPr>
          <w:sz w:val="24"/>
          <w:szCs w:val="24"/>
        </w:rPr>
        <w:t xml:space="preserve"> RTL-i eetikakoodeksi </w:t>
      </w:r>
      <w:r w:rsidR="00234BA8">
        <w:rPr>
          <w:sz w:val="24"/>
          <w:szCs w:val="24"/>
        </w:rPr>
        <w:t>artikkel</w:t>
      </w:r>
      <w:r w:rsidR="004D2617" w:rsidRPr="0049451F">
        <w:rPr>
          <w:sz w:val="24"/>
          <w:szCs w:val="24"/>
        </w:rPr>
        <w:t xml:space="preserve"> 10</w:t>
      </w:r>
      <w:r w:rsidR="001D18CE">
        <w:rPr>
          <w:sz w:val="24"/>
          <w:szCs w:val="24"/>
        </w:rPr>
        <w:t>.</w:t>
      </w:r>
    </w:p>
    <w:p w14:paraId="24C4CD51" w14:textId="038842A7" w:rsidR="008B28D6" w:rsidRDefault="00234BA8" w:rsidP="006421F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Samas peaks </w:t>
      </w:r>
      <w:r w:rsidR="00762EDD">
        <w:rPr>
          <w:sz w:val="24"/>
          <w:szCs w:val="24"/>
        </w:rPr>
        <w:t>ka kolmanda osapoole korraldatud teaduslikul üritusel osalemise toetamise</w:t>
      </w:r>
      <w:r>
        <w:rPr>
          <w:sz w:val="24"/>
          <w:szCs w:val="24"/>
        </w:rPr>
        <w:t xml:space="preserve"> </w:t>
      </w:r>
      <w:r w:rsidR="00762EDD">
        <w:rPr>
          <w:sz w:val="24"/>
          <w:szCs w:val="24"/>
        </w:rPr>
        <w:t>korral veenduma, et</w:t>
      </w:r>
      <w:r>
        <w:rPr>
          <w:sz w:val="24"/>
          <w:szCs w:val="24"/>
        </w:rPr>
        <w:t xml:space="preserve"> </w:t>
      </w:r>
      <w:r w:rsidR="00762EDD">
        <w:rPr>
          <w:sz w:val="24"/>
          <w:szCs w:val="24"/>
        </w:rPr>
        <w:t>selle</w:t>
      </w:r>
      <w:r>
        <w:rPr>
          <w:sz w:val="24"/>
          <w:szCs w:val="24"/>
        </w:rPr>
        <w:t xml:space="preserve"> programmi</w:t>
      </w:r>
      <w:r w:rsidR="00762EDD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762EDD">
        <w:rPr>
          <w:sz w:val="24"/>
          <w:szCs w:val="24"/>
        </w:rPr>
        <w:t>on</w:t>
      </w:r>
      <w:r w:rsidR="00AB1D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mis tahes </w:t>
      </w:r>
      <w:r w:rsidR="00762EDD">
        <w:rPr>
          <w:sz w:val="24"/>
          <w:szCs w:val="24"/>
        </w:rPr>
        <w:t>sotsiaalsed üritused ja toitlustamine</w:t>
      </w:r>
      <w:r w:rsidR="00AB1D46">
        <w:rPr>
          <w:sz w:val="24"/>
          <w:szCs w:val="24"/>
        </w:rPr>
        <w:t xml:space="preserve"> </w:t>
      </w:r>
      <w:r w:rsidR="00AB1D46" w:rsidRPr="00AB1D46">
        <w:rPr>
          <w:sz w:val="24"/>
          <w:szCs w:val="24"/>
        </w:rPr>
        <w:t>ürituse tea</w:t>
      </w:r>
      <w:r w:rsidR="00762EDD">
        <w:rPr>
          <w:sz w:val="24"/>
          <w:szCs w:val="24"/>
        </w:rPr>
        <w:t>duslik</w:t>
      </w:r>
      <w:r w:rsidR="00AB1D46" w:rsidRPr="00AB1D46">
        <w:rPr>
          <w:sz w:val="24"/>
          <w:szCs w:val="24"/>
        </w:rPr>
        <w:t xml:space="preserve">u </w:t>
      </w:r>
      <w:r w:rsidR="00762EDD">
        <w:rPr>
          <w:sz w:val="24"/>
          <w:szCs w:val="24"/>
        </w:rPr>
        <w:t>programmiga võrreldes</w:t>
      </w:r>
      <w:r w:rsidR="00AB1D46" w:rsidRPr="00AB1D46">
        <w:rPr>
          <w:sz w:val="24"/>
          <w:szCs w:val="24"/>
        </w:rPr>
        <w:t xml:space="preserve"> selgelt teisejärgulise loomu ja osakaaluga</w:t>
      </w:r>
      <w:r w:rsidR="00762EDD">
        <w:rPr>
          <w:sz w:val="24"/>
          <w:szCs w:val="24"/>
        </w:rPr>
        <w:t xml:space="preserve"> ning on programmi vältimatu, mitte valikuline osa</w:t>
      </w:r>
      <w:r w:rsidR="00AB1D46" w:rsidRPr="00AB1D46">
        <w:rPr>
          <w:sz w:val="24"/>
          <w:szCs w:val="24"/>
        </w:rPr>
        <w:t xml:space="preserve">. </w:t>
      </w:r>
    </w:p>
    <w:p w14:paraId="2D1B09D4" w14:textId="6F9F007C" w:rsidR="00AB1D46" w:rsidRPr="006421F5" w:rsidRDefault="00762EDD" w:rsidP="006421F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Kui taolised sotsiaalsed üritused on valikulised / eraldi registreerimistasuga osad teadusliku ürituse programmist, tuleb tervishoiutöötaja toetamisel piirduda üksnes teadusliku osaga ning mitte toetada taolistel sotsiaalsetel üritustel osalemist. Kõnealuse juhtumi puhul on aga „taaskohtumise </w:t>
      </w:r>
      <w:r w:rsidR="005A77D7" w:rsidRPr="005A77D7">
        <w:rPr>
          <w:sz w:val="24"/>
          <w:szCs w:val="24"/>
        </w:rPr>
        <w:t>koosviibimi</w:t>
      </w:r>
      <w:r w:rsidR="005A77D7">
        <w:rPr>
          <w:sz w:val="24"/>
          <w:szCs w:val="24"/>
        </w:rPr>
        <w:t>se</w:t>
      </w:r>
      <w:r>
        <w:rPr>
          <w:sz w:val="24"/>
          <w:szCs w:val="24"/>
        </w:rPr>
        <w:t>l“ osalemine</w:t>
      </w:r>
      <w:r w:rsidR="00AB1D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vältimatult kogu teadusliku ürituse registreerimistasu sisse arvestatud. </w:t>
      </w:r>
    </w:p>
    <w:p w14:paraId="71948A88" w14:textId="77777777" w:rsidR="00302E51" w:rsidRPr="0049451F" w:rsidRDefault="00302E51" w:rsidP="0049451F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5B12F307" w14:textId="42FA5782" w:rsidR="00DD1B6A" w:rsidRPr="00DD1B6A" w:rsidRDefault="00DB6971" w:rsidP="00313049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Konkreetse juhtumi asjaoludel ja ülaltoodud tingimustel ei ole REK-i hinnangul tervishoiutöötaja toetamine kolmanda osapoole korraldatud teaduslikul üritusel vastuolus RTL eetikakoodeksiga.</w:t>
      </w:r>
    </w:p>
    <w:sectPr w:rsidR="00DD1B6A" w:rsidRPr="00DD1B6A" w:rsidSect="006039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9A42" w14:textId="77777777" w:rsidR="00FF1792" w:rsidRDefault="00FF1792" w:rsidP="00DC2BD6">
      <w:pPr>
        <w:spacing w:after="0" w:line="240" w:lineRule="auto"/>
      </w:pPr>
      <w:r>
        <w:separator/>
      </w:r>
    </w:p>
  </w:endnote>
  <w:endnote w:type="continuationSeparator" w:id="0">
    <w:p w14:paraId="0EFA9976" w14:textId="77777777" w:rsidR="00FF1792" w:rsidRDefault="00FF1792" w:rsidP="00DC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077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45AD9" w14:textId="7389B08C" w:rsidR="00DC2BD6" w:rsidRDefault="00DC2B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9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9E05BC" w14:textId="77777777" w:rsidR="00DC2BD6" w:rsidRDefault="00DC2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9DC9" w14:textId="77777777" w:rsidR="00FF1792" w:rsidRDefault="00FF1792" w:rsidP="00DC2BD6">
      <w:pPr>
        <w:spacing w:after="0" w:line="240" w:lineRule="auto"/>
      </w:pPr>
      <w:r>
        <w:separator/>
      </w:r>
    </w:p>
  </w:footnote>
  <w:footnote w:type="continuationSeparator" w:id="0">
    <w:p w14:paraId="59A7A220" w14:textId="77777777" w:rsidR="00FF1792" w:rsidRDefault="00FF1792" w:rsidP="00DC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C5968"/>
    <w:multiLevelType w:val="hybridMultilevel"/>
    <w:tmpl w:val="0360F18E"/>
    <w:lvl w:ilvl="0" w:tplc="E962F8C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8E3EBF"/>
    <w:multiLevelType w:val="hybridMultilevel"/>
    <w:tmpl w:val="44BEAB1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63AA2"/>
    <w:multiLevelType w:val="hybridMultilevel"/>
    <w:tmpl w:val="4054632A"/>
    <w:lvl w:ilvl="0" w:tplc="E962F8C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32CA7"/>
    <w:multiLevelType w:val="hybridMultilevel"/>
    <w:tmpl w:val="AC861B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61CF9"/>
    <w:multiLevelType w:val="hybridMultilevel"/>
    <w:tmpl w:val="44BEAB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4283">
    <w:abstractNumId w:val="3"/>
  </w:num>
  <w:num w:numId="2" w16cid:durableId="312879099">
    <w:abstractNumId w:val="0"/>
  </w:num>
  <w:num w:numId="3" w16cid:durableId="939263348">
    <w:abstractNumId w:val="2"/>
  </w:num>
  <w:num w:numId="4" w16cid:durableId="1809476387">
    <w:abstractNumId w:val="1"/>
  </w:num>
  <w:num w:numId="5" w16cid:durableId="460924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DA9"/>
    <w:rsid w:val="00023377"/>
    <w:rsid w:val="00042886"/>
    <w:rsid w:val="000F6B66"/>
    <w:rsid w:val="001227B7"/>
    <w:rsid w:val="00155F98"/>
    <w:rsid w:val="001A5211"/>
    <w:rsid w:val="001C6E87"/>
    <w:rsid w:val="001D18CE"/>
    <w:rsid w:val="001F74A1"/>
    <w:rsid w:val="00234BA8"/>
    <w:rsid w:val="00243671"/>
    <w:rsid w:val="002613F7"/>
    <w:rsid w:val="002772FF"/>
    <w:rsid w:val="00281526"/>
    <w:rsid w:val="002E1971"/>
    <w:rsid w:val="002E74ED"/>
    <w:rsid w:val="00302E51"/>
    <w:rsid w:val="00310DFA"/>
    <w:rsid w:val="00313049"/>
    <w:rsid w:val="00314E64"/>
    <w:rsid w:val="00317D2A"/>
    <w:rsid w:val="00365D0B"/>
    <w:rsid w:val="00370B30"/>
    <w:rsid w:val="00385E6D"/>
    <w:rsid w:val="004340A0"/>
    <w:rsid w:val="0048758F"/>
    <w:rsid w:val="0049451F"/>
    <w:rsid w:val="004B387D"/>
    <w:rsid w:val="004D2617"/>
    <w:rsid w:val="00502969"/>
    <w:rsid w:val="0055020C"/>
    <w:rsid w:val="00560247"/>
    <w:rsid w:val="005A77D7"/>
    <w:rsid w:val="005D6535"/>
    <w:rsid w:val="005E5282"/>
    <w:rsid w:val="00603972"/>
    <w:rsid w:val="006206FD"/>
    <w:rsid w:val="006421F5"/>
    <w:rsid w:val="006641B6"/>
    <w:rsid w:val="006D1D35"/>
    <w:rsid w:val="006E0223"/>
    <w:rsid w:val="006E3EE5"/>
    <w:rsid w:val="006F5C7C"/>
    <w:rsid w:val="00762EDD"/>
    <w:rsid w:val="007F667F"/>
    <w:rsid w:val="008218D2"/>
    <w:rsid w:val="00836E38"/>
    <w:rsid w:val="00847D5C"/>
    <w:rsid w:val="008B28D6"/>
    <w:rsid w:val="008B2B78"/>
    <w:rsid w:val="0091257E"/>
    <w:rsid w:val="00920B41"/>
    <w:rsid w:val="0095498B"/>
    <w:rsid w:val="00955DA9"/>
    <w:rsid w:val="0096173F"/>
    <w:rsid w:val="00997CAB"/>
    <w:rsid w:val="00A40B22"/>
    <w:rsid w:val="00A75B47"/>
    <w:rsid w:val="00AB1D46"/>
    <w:rsid w:val="00AB4FD0"/>
    <w:rsid w:val="00B14299"/>
    <w:rsid w:val="00B1754C"/>
    <w:rsid w:val="00B73996"/>
    <w:rsid w:val="00B7580D"/>
    <w:rsid w:val="00B801F5"/>
    <w:rsid w:val="00B86852"/>
    <w:rsid w:val="00B875F7"/>
    <w:rsid w:val="00B971B8"/>
    <w:rsid w:val="00BD0184"/>
    <w:rsid w:val="00CB5A83"/>
    <w:rsid w:val="00D843AA"/>
    <w:rsid w:val="00DA47D4"/>
    <w:rsid w:val="00DB6971"/>
    <w:rsid w:val="00DC2BD6"/>
    <w:rsid w:val="00DD1B6A"/>
    <w:rsid w:val="00E33640"/>
    <w:rsid w:val="00E85A32"/>
    <w:rsid w:val="00EA5389"/>
    <w:rsid w:val="00F03AA8"/>
    <w:rsid w:val="00F64175"/>
    <w:rsid w:val="00FC1A11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3A45"/>
  <w15:chartTrackingRefBased/>
  <w15:docId w15:val="{2B343F23-647F-4C88-ACA5-59221012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5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5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3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D6"/>
  </w:style>
  <w:style w:type="paragraph" w:styleId="Footer">
    <w:name w:val="footer"/>
    <w:basedOn w:val="Normal"/>
    <w:link w:val="FooterChar"/>
    <w:uiPriority w:val="99"/>
    <w:unhideWhenUsed/>
    <w:rsid w:val="00DC2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D6"/>
  </w:style>
  <w:style w:type="character" w:styleId="CommentReference">
    <w:name w:val="annotation reference"/>
    <w:basedOn w:val="DefaultParagraphFont"/>
    <w:uiPriority w:val="99"/>
    <w:semiHidden/>
    <w:unhideWhenUsed/>
    <w:rsid w:val="00847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D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D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</dc:creator>
  <cp:keywords/>
  <dc:description/>
  <cp:lastModifiedBy>Ravimitootjate Liit</cp:lastModifiedBy>
  <cp:revision>3</cp:revision>
  <dcterms:created xsi:type="dcterms:W3CDTF">2022-04-20T06:15:00Z</dcterms:created>
  <dcterms:modified xsi:type="dcterms:W3CDTF">2022-04-20T06:15:00Z</dcterms:modified>
</cp:coreProperties>
</file>